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122CD4"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122CD4" w:rsidRDefault="00122CD4" w:rsidP="00122CD4">
      <w:pPr>
        <w:jc w:val="both"/>
        <w:rPr>
          <w:b/>
          <w:bCs/>
        </w:rPr>
      </w:pPr>
    </w:p>
    <w:tbl>
      <w:tblPr>
        <w:tblW w:w="9639" w:type="dxa"/>
        <w:tblInd w:w="108" w:type="dxa"/>
        <w:tblLayout w:type="fixed"/>
        <w:tblLook w:val="0000"/>
      </w:tblPr>
      <w:tblGrid>
        <w:gridCol w:w="1276"/>
        <w:gridCol w:w="6095"/>
        <w:gridCol w:w="2268"/>
      </w:tblGrid>
      <w:tr w:rsidR="00122CD4" w:rsidRPr="002C22C8" w:rsidTr="00122CD4">
        <w:trPr>
          <w:tblHeader/>
        </w:trPr>
        <w:tc>
          <w:tcPr>
            <w:tcW w:w="1276" w:type="dxa"/>
            <w:tcBorders>
              <w:top w:val="single" w:sz="4" w:space="0" w:color="auto"/>
              <w:left w:val="single" w:sz="4" w:space="0" w:color="auto"/>
              <w:bottom w:val="single" w:sz="4" w:space="0" w:color="auto"/>
              <w:right w:val="single" w:sz="4" w:space="0" w:color="auto"/>
            </w:tcBorders>
            <w:vAlign w:val="center"/>
          </w:tcPr>
          <w:p w:rsidR="00122CD4" w:rsidRPr="002C22C8" w:rsidRDefault="00122CD4" w:rsidP="005431D2">
            <w:pPr>
              <w:pStyle w:val="afe"/>
              <w:tabs>
                <w:tab w:val="clear" w:pos="1980"/>
              </w:tabs>
              <w:ind w:left="-108" w:right="-42" w:firstLine="0"/>
              <w:jc w:val="center"/>
              <w:rPr>
                <w:bCs/>
                <w:szCs w:val="24"/>
              </w:rPr>
            </w:pPr>
            <w:r w:rsidRPr="002C22C8">
              <w:rPr>
                <w:bCs/>
                <w:szCs w:val="24"/>
              </w:rPr>
              <w:t xml:space="preserve">Номер </w:t>
            </w:r>
            <w:r w:rsidRPr="002C22C8">
              <w:rPr>
                <w:bCs/>
                <w:szCs w:val="24"/>
              </w:rPr>
              <w:br/>
              <w:t>критерия</w:t>
            </w:r>
          </w:p>
        </w:tc>
        <w:tc>
          <w:tcPr>
            <w:tcW w:w="6095" w:type="dxa"/>
            <w:tcBorders>
              <w:top w:val="single" w:sz="4" w:space="0" w:color="auto"/>
              <w:left w:val="single" w:sz="4" w:space="0" w:color="auto"/>
              <w:bottom w:val="single" w:sz="4" w:space="0" w:color="auto"/>
              <w:right w:val="single" w:sz="4" w:space="0" w:color="auto"/>
            </w:tcBorders>
            <w:vAlign w:val="center"/>
          </w:tcPr>
          <w:p w:rsidR="00122CD4" w:rsidRPr="002C22C8" w:rsidRDefault="00122CD4" w:rsidP="005431D2">
            <w:pPr>
              <w:pStyle w:val="afe"/>
              <w:tabs>
                <w:tab w:val="clear" w:pos="1980"/>
              </w:tabs>
              <w:ind w:left="0" w:firstLine="0"/>
              <w:jc w:val="center"/>
              <w:rPr>
                <w:bCs/>
                <w:szCs w:val="24"/>
              </w:rPr>
            </w:pPr>
            <w:r w:rsidRPr="002C22C8">
              <w:rPr>
                <w:bCs/>
                <w:szCs w:val="24"/>
              </w:rPr>
              <w:t xml:space="preserve">Критерии оценки </w:t>
            </w:r>
            <w:r w:rsidRPr="002C22C8">
              <w:rPr>
                <w:bCs/>
                <w:szCs w:val="24"/>
              </w:rPr>
              <w:br/>
              <w:t xml:space="preserve">заявок на Участие в </w:t>
            </w:r>
            <w:r w:rsidRPr="00AE4B49">
              <w:t>запрос</w:t>
            </w:r>
            <w:r>
              <w:t>е</w:t>
            </w:r>
            <w:r w:rsidRPr="00AE4B49">
              <w:t xml:space="preserve"> предложений</w:t>
            </w:r>
          </w:p>
        </w:tc>
        <w:tc>
          <w:tcPr>
            <w:tcW w:w="2268" w:type="dxa"/>
            <w:tcBorders>
              <w:top w:val="single" w:sz="4" w:space="0" w:color="auto"/>
              <w:left w:val="single" w:sz="4" w:space="0" w:color="auto"/>
              <w:bottom w:val="single" w:sz="4" w:space="0" w:color="auto"/>
              <w:right w:val="single" w:sz="4" w:space="0" w:color="auto"/>
            </w:tcBorders>
            <w:vAlign w:val="center"/>
          </w:tcPr>
          <w:p w:rsidR="00122CD4" w:rsidRPr="002C22C8" w:rsidRDefault="00122CD4" w:rsidP="005431D2">
            <w:pPr>
              <w:pStyle w:val="afe"/>
              <w:tabs>
                <w:tab w:val="clear" w:pos="1980"/>
              </w:tabs>
              <w:ind w:left="0" w:firstLine="0"/>
              <w:jc w:val="center"/>
              <w:rPr>
                <w:bCs/>
                <w:szCs w:val="24"/>
              </w:rPr>
            </w:pPr>
            <w:r w:rsidRPr="002C22C8">
              <w:rPr>
                <w:bCs/>
                <w:szCs w:val="24"/>
              </w:rPr>
              <w:t>Значимость крит</w:t>
            </w:r>
            <w:r w:rsidRPr="002C22C8">
              <w:rPr>
                <w:bCs/>
                <w:szCs w:val="24"/>
              </w:rPr>
              <w:t>е</w:t>
            </w:r>
            <w:r w:rsidRPr="002C22C8">
              <w:rPr>
                <w:bCs/>
                <w:szCs w:val="24"/>
              </w:rPr>
              <w:t>риев в пр</w:t>
            </w:r>
            <w:r w:rsidRPr="002C22C8">
              <w:rPr>
                <w:bCs/>
                <w:szCs w:val="24"/>
              </w:rPr>
              <w:t>о</w:t>
            </w:r>
            <w:r w:rsidRPr="002C22C8">
              <w:rPr>
                <w:bCs/>
                <w:szCs w:val="24"/>
              </w:rPr>
              <w:t>центах</w:t>
            </w:r>
          </w:p>
          <w:p w:rsidR="00122CD4" w:rsidRPr="002C22C8" w:rsidRDefault="00122CD4" w:rsidP="005431D2">
            <w:pPr>
              <w:pStyle w:val="afe"/>
              <w:tabs>
                <w:tab w:val="clear" w:pos="1980"/>
              </w:tabs>
              <w:ind w:left="0" w:firstLine="0"/>
              <w:jc w:val="center"/>
              <w:rPr>
                <w:bCs/>
                <w:szCs w:val="24"/>
              </w:rPr>
            </w:pPr>
            <w:r w:rsidRPr="002C22C8">
              <w:rPr>
                <w:bCs/>
                <w:szCs w:val="24"/>
              </w:rPr>
              <w:t>(К)</w:t>
            </w:r>
          </w:p>
        </w:tc>
      </w:tr>
      <w:tr w:rsidR="00122CD4" w:rsidRPr="002C22C8" w:rsidTr="00122CD4">
        <w:trPr>
          <w:trHeight w:val="70"/>
        </w:trPr>
        <w:tc>
          <w:tcPr>
            <w:tcW w:w="1276" w:type="dxa"/>
            <w:tcBorders>
              <w:top w:val="single" w:sz="4" w:space="0" w:color="auto"/>
              <w:left w:val="single" w:sz="4" w:space="0" w:color="auto"/>
              <w:bottom w:val="single" w:sz="4" w:space="0" w:color="auto"/>
              <w:right w:val="single" w:sz="4" w:space="0" w:color="auto"/>
            </w:tcBorders>
          </w:tcPr>
          <w:p w:rsidR="00122CD4" w:rsidRPr="002C22C8" w:rsidRDefault="00122CD4" w:rsidP="005431D2">
            <w:pPr>
              <w:pStyle w:val="afe"/>
              <w:tabs>
                <w:tab w:val="clear" w:pos="1980"/>
              </w:tabs>
              <w:ind w:left="0" w:firstLine="0"/>
              <w:jc w:val="center"/>
              <w:rPr>
                <w:szCs w:val="24"/>
              </w:rPr>
            </w:pPr>
            <w:r w:rsidRPr="002C22C8">
              <w:rPr>
                <w:szCs w:val="24"/>
              </w:rPr>
              <w:t>1.</w:t>
            </w:r>
          </w:p>
        </w:tc>
        <w:tc>
          <w:tcPr>
            <w:tcW w:w="6095" w:type="dxa"/>
            <w:tcBorders>
              <w:top w:val="single" w:sz="4" w:space="0" w:color="auto"/>
              <w:left w:val="single" w:sz="4" w:space="0" w:color="auto"/>
              <w:bottom w:val="single" w:sz="4" w:space="0" w:color="auto"/>
              <w:right w:val="single" w:sz="4" w:space="0" w:color="auto"/>
            </w:tcBorders>
          </w:tcPr>
          <w:p w:rsidR="00122CD4" w:rsidRPr="002B05BB" w:rsidRDefault="00122CD4" w:rsidP="005431D2">
            <w:pPr>
              <w:pStyle w:val="afe"/>
              <w:tabs>
                <w:tab w:val="clear" w:pos="1980"/>
              </w:tabs>
              <w:ind w:left="0" w:hanging="3"/>
              <w:rPr>
                <w:szCs w:val="24"/>
              </w:rPr>
            </w:pPr>
            <w:r>
              <w:rPr>
                <w:b/>
              </w:rPr>
              <w:t>С</w:t>
            </w:r>
            <w:r w:rsidRPr="006F0693">
              <w:rPr>
                <w:b/>
              </w:rPr>
              <w:t>умма вознаграждения за доставку</w:t>
            </w:r>
            <w:r w:rsidRPr="006F0693">
              <w:t xml:space="preserve"> одного неконве</w:t>
            </w:r>
            <w:r w:rsidRPr="006F0693">
              <w:t>р</w:t>
            </w:r>
            <w:r w:rsidRPr="006F0693">
              <w:t>тованного счета-извещения абоне</w:t>
            </w:r>
            <w:r w:rsidRPr="006F0693">
              <w:t>н</w:t>
            </w:r>
            <w:r w:rsidRPr="006F0693">
              <w:t>там</w:t>
            </w:r>
            <w:r>
              <w:t>:</w:t>
            </w:r>
          </w:p>
        </w:tc>
        <w:tc>
          <w:tcPr>
            <w:tcW w:w="2268" w:type="dxa"/>
            <w:tcBorders>
              <w:top w:val="single" w:sz="4" w:space="0" w:color="auto"/>
              <w:left w:val="single" w:sz="4" w:space="0" w:color="auto"/>
              <w:bottom w:val="single" w:sz="4" w:space="0" w:color="auto"/>
              <w:right w:val="single" w:sz="4" w:space="0" w:color="auto"/>
            </w:tcBorders>
          </w:tcPr>
          <w:p w:rsidR="00122CD4" w:rsidRPr="002C22C8" w:rsidRDefault="00122CD4" w:rsidP="005431D2">
            <w:pPr>
              <w:pStyle w:val="afe"/>
              <w:ind w:left="34" w:firstLine="0"/>
              <w:jc w:val="center"/>
              <w:rPr>
                <w:szCs w:val="24"/>
              </w:rPr>
            </w:pPr>
          </w:p>
        </w:tc>
      </w:tr>
      <w:tr w:rsidR="00122CD4" w:rsidRPr="002C22C8" w:rsidTr="00122CD4">
        <w:trPr>
          <w:trHeight w:val="70"/>
        </w:trPr>
        <w:tc>
          <w:tcPr>
            <w:tcW w:w="1276" w:type="dxa"/>
            <w:tcBorders>
              <w:top w:val="single" w:sz="4" w:space="0" w:color="auto"/>
              <w:left w:val="single" w:sz="4" w:space="0" w:color="auto"/>
              <w:bottom w:val="single" w:sz="4" w:space="0" w:color="auto"/>
              <w:right w:val="single" w:sz="4" w:space="0" w:color="auto"/>
            </w:tcBorders>
          </w:tcPr>
          <w:p w:rsidR="00122CD4" w:rsidRPr="002C22C8" w:rsidRDefault="00122CD4" w:rsidP="005431D2">
            <w:pPr>
              <w:pStyle w:val="afe"/>
              <w:tabs>
                <w:tab w:val="clear" w:pos="1980"/>
              </w:tabs>
              <w:ind w:left="0" w:firstLine="0"/>
              <w:jc w:val="center"/>
              <w:rPr>
                <w:szCs w:val="24"/>
              </w:rPr>
            </w:pPr>
            <w:r>
              <w:rPr>
                <w:szCs w:val="24"/>
              </w:rPr>
              <w:t>1.1</w:t>
            </w:r>
          </w:p>
        </w:tc>
        <w:tc>
          <w:tcPr>
            <w:tcW w:w="6095" w:type="dxa"/>
            <w:tcBorders>
              <w:top w:val="single" w:sz="4" w:space="0" w:color="auto"/>
              <w:left w:val="single" w:sz="4" w:space="0" w:color="auto"/>
              <w:bottom w:val="single" w:sz="4" w:space="0" w:color="auto"/>
              <w:right w:val="single" w:sz="4" w:space="0" w:color="auto"/>
            </w:tcBorders>
          </w:tcPr>
          <w:p w:rsidR="00122CD4" w:rsidRPr="00AD116B" w:rsidRDefault="00122CD4" w:rsidP="005431D2">
            <w:pPr>
              <w:pStyle w:val="afe"/>
              <w:tabs>
                <w:tab w:val="clear" w:pos="1980"/>
              </w:tabs>
              <w:ind w:left="0" w:hanging="3"/>
              <w:rPr>
                <w:szCs w:val="24"/>
              </w:rPr>
            </w:pPr>
            <w:r w:rsidRPr="006F0693">
              <w:rPr>
                <w:rFonts w:eastAsia="Arial Unicode MS"/>
              </w:rPr>
              <w:t xml:space="preserve">в пределах г. Уфа – 1,60 руб. (один рубль шестьдесят копеек) без НДС; </w:t>
            </w:r>
          </w:p>
        </w:tc>
        <w:tc>
          <w:tcPr>
            <w:tcW w:w="2268" w:type="dxa"/>
            <w:tcBorders>
              <w:top w:val="single" w:sz="4" w:space="0" w:color="auto"/>
              <w:left w:val="single" w:sz="4" w:space="0" w:color="auto"/>
              <w:bottom w:val="single" w:sz="4" w:space="0" w:color="auto"/>
              <w:right w:val="single" w:sz="4" w:space="0" w:color="auto"/>
            </w:tcBorders>
          </w:tcPr>
          <w:p w:rsidR="00122CD4" w:rsidRDefault="00122CD4" w:rsidP="005431D2">
            <w:pPr>
              <w:pStyle w:val="afe"/>
              <w:ind w:left="34" w:firstLine="0"/>
              <w:jc w:val="center"/>
              <w:rPr>
                <w:szCs w:val="24"/>
              </w:rPr>
            </w:pPr>
            <w:r>
              <w:rPr>
                <w:szCs w:val="24"/>
              </w:rPr>
              <w:t>65%</w:t>
            </w:r>
          </w:p>
        </w:tc>
      </w:tr>
      <w:tr w:rsidR="00122CD4" w:rsidRPr="002C22C8" w:rsidTr="00122CD4">
        <w:trPr>
          <w:trHeight w:val="70"/>
        </w:trPr>
        <w:tc>
          <w:tcPr>
            <w:tcW w:w="1276" w:type="dxa"/>
            <w:tcBorders>
              <w:top w:val="single" w:sz="4" w:space="0" w:color="auto"/>
              <w:left w:val="single" w:sz="4" w:space="0" w:color="auto"/>
              <w:bottom w:val="single" w:sz="4" w:space="0" w:color="auto"/>
              <w:right w:val="single" w:sz="4" w:space="0" w:color="auto"/>
            </w:tcBorders>
          </w:tcPr>
          <w:p w:rsidR="00122CD4" w:rsidRPr="002C22C8" w:rsidRDefault="00122CD4" w:rsidP="005431D2">
            <w:pPr>
              <w:pStyle w:val="afe"/>
              <w:tabs>
                <w:tab w:val="clear" w:pos="1980"/>
              </w:tabs>
              <w:ind w:left="0" w:firstLine="0"/>
              <w:jc w:val="center"/>
              <w:rPr>
                <w:szCs w:val="24"/>
              </w:rPr>
            </w:pPr>
            <w:r>
              <w:rPr>
                <w:szCs w:val="24"/>
              </w:rPr>
              <w:t>1.2</w:t>
            </w:r>
          </w:p>
        </w:tc>
        <w:tc>
          <w:tcPr>
            <w:tcW w:w="6095" w:type="dxa"/>
            <w:tcBorders>
              <w:top w:val="single" w:sz="4" w:space="0" w:color="auto"/>
              <w:left w:val="single" w:sz="4" w:space="0" w:color="auto"/>
              <w:bottom w:val="single" w:sz="4" w:space="0" w:color="auto"/>
              <w:right w:val="single" w:sz="4" w:space="0" w:color="auto"/>
            </w:tcBorders>
          </w:tcPr>
          <w:p w:rsidR="00122CD4" w:rsidRPr="00AD116B" w:rsidRDefault="00122CD4" w:rsidP="005431D2">
            <w:pPr>
              <w:pStyle w:val="afe"/>
              <w:tabs>
                <w:tab w:val="clear" w:pos="1980"/>
              </w:tabs>
              <w:ind w:left="0" w:hanging="3"/>
              <w:rPr>
                <w:szCs w:val="24"/>
              </w:rPr>
            </w:pPr>
            <w:r w:rsidRPr="006F0693">
              <w:rPr>
                <w:rFonts w:eastAsia="Arial Unicode MS"/>
              </w:rPr>
              <w:t>в пределах городов Салават и Стерлитамак – 1,50 руб. (один рубль пятьдесят копеек) без НДС</w:t>
            </w:r>
          </w:p>
        </w:tc>
        <w:tc>
          <w:tcPr>
            <w:tcW w:w="2268" w:type="dxa"/>
            <w:tcBorders>
              <w:top w:val="single" w:sz="4" w:space="0" w:color="auto"/>
              <w:left w:val="single" w:sz="4" w:space="0" w:color="auto"/>
              <w:bottom w:val="single" w:sz="4" w:space="0" w:color="auto"/>
              <w:right w:val="single" w:sz="4" w:space="0" w:color="auto"/>
            </w:tcBorders>
          </w:tcPr>
          <w:p w:rsidR="00122CD4" w:rsidRDefault="00122CD4" w:rsidP="005431D2">
            <w:pPr>
              <w:pStyle w:val="afe"/>
              <w:ind w:left="34" w:firstLine="0"/>
              <w:jc w:val="center"/>
              <w:rPr>
                <w:szCs w:val="24"/>
              </w:rPr>
            </w:pPr>
            <w:r>
              <w:rPr>
                <w:szCs w:val="24"/>
              </w:rPr>
              <w:t>32%</w:t>
            </w:r>
          </w:p>
        </w:tc>
      </w:tr>
      <w:tr w:rsidR="00122CD4" w:rsidRPr="002C22C8" w:rsidTr="00122CD4">
        <w:trPr>
          <w:trHeight w:val="70"/>
        </w:trPr>
        <w:tc>
          <w:tcPr>
            <w:tcW w:w="1276" w:type="dxa"/>
            <w:tcBorders>
              <w:top w:val="single" w:sz="4" w:space="0" w:color="auto"/>
              <w:left w:val="single" w:sz="4" w:space="0" w:color="auto"/>
              <w:bottom w:val="single" w:sz="4" w:space="0" w:color="auto"/>
              <w:right w:val="single" w:sz="4" w:space="0" w:color="auto"/>
            </w:tcBorders>
          </w:tcPr>
          <w:p w:rsidR="00122CD4" w:rsidRPr="002C22C8" w:rsidRDefault="00122CD4" w:rsidP="005431D2">
            <w:pPr>
              <w:pStyle w:val="afe"/>
              <w:tabs>
                <w:tab w:val="clear" w:pos="1980"/>
              </w:tabs>
              <w:ind w:left="0" w:firstLine="0"/>
              <w:jc w:val="center"/>
              <w:rPr>
                <w:szCs w:val="24"/>
              </w:rPr>
            </w:pPr>
            <w:r>
              <w:rPr>
                <w:szCs w:val="24"/>
              </w:rPr>
              <w:t>2.</w:t>
            </w:r>
          </w:p>
        </w:tc>
        <w:tc>
          <w:tcPr>
            <w:tcW w:w="6095" w:type="dxa"/>
            <w:tcBorders>
              <w:top w:val="single" w:sz="4" w:space="0" w:color="auto"/>
              <w:left w:val="single" w:sz="4" w:space="0" w:color="auto"/>
              <w:bottom w:val="single" w:sz="4" w:space="0" w:color="auto"/>
              <w:right w:val="single" w:sz="4" w:space="0" w:color="auto"/>
            </w:tcBorders>
          </w:tcPr>
          <w:p w:rsidR="00122CD4" w:rsidRPr="00AD116B" w:rsidRDefault="00122CD4" w:rsidP="005431D2">
            <w:pPr>
              <w:pStyle w:val="afe"/>
              <w:tabs>
                <w:tab w:val="clear" w:pos="1980"/>
              </w:tabs>
              <w:ind w:left="0" w:hanging="3"/>
              <w:rPr>
                <w:szCs w:val="24"/>
              </w:rPr>
            </w:pPr>
            <w:r>
              <w:t>Согласие претендента на условие оплаты по договору в течение 60 календарных дней с момента подписания сторонами накладной</w:t>
            </w:r>
          </w:p>
        </w:tc>
        <w:tc>
          <w:tcPr>
            <w:tcW w:w="2268" w:type="dxa"/>
            <w:tcBorders>
              <w:top w:val="single" w:sz="4" w:space="0" w:color="auto"/>
              <w:left w:val="single" w:sz="4" w:space="0" w:color="auto"/>
              <w:bottom w:val="single" w:sz="4" w:space="0" w:color="auto"/>
              <w:right w:val="single" w:sz="4" w:space="0" w:color="auto"/>
            </w:tcBorders>
          </w:tcPr>
          <w:p w:rsidR="00122CD4" w:rsidRDefault="00122CD4" w:rsidP="005431D2">
            <w:pPr>
              <w:pStyle w:val="afe"/>
              <w:ind w:left="34" w:firstLine="0"/>
              <w:jc w:val="center"/>
              <w:rPr>
                <w:szCs w:val="24"/>
              </w:rPr>
            </w:pPr>
            <w:r>
              <w:rPr>
                <w:szCs w:val="24"/>
              </w:rPr>
              <w:t>3%</w:t>
            </w:r>
          </w:p>
        </w:tc>
      </w:tr>
      <w:tr w:rsidR="00122CD4" w:rsidRPr="008140D0" w:rsidTr="00122CD4">
        <w:trPr>
          <w:trHeight w:val="77"/>
        </w:trPr>
        <w:tc>
          <w:tcPr>
            <w:tcW w:w="1276" w:type="dxa"/>
            <w:tcBorders>
              <w:top w:val="single" w:sz="4" w:space="0" w:color="auto"/>
              <w:left w:val="single" w:sz="4" w:space="0" w:color="auto"/>
              <w:bottom w:val="single" w:sz="4" w:space="0" w:color="auto"/>
              <w:right w:val="single" w:sz="4" w:space="0" w:color="auto"/>
            </w:tcBorders>
          </w:tcPr>
          <w:p w:rsidR="00122CD4" w:rsidRPr="008140D0" w:rsidRDefault="00122CD4" w:rsidP="005431D2">
            <w:pPr>
              <w:pStyle w:val="afe"/>
              <w:tabs>
                <w:tab w:val="clear" w:pos="1980"/>
              </w:tabs>
              <w:ind w:left="0" w:firstLine="0"/>
              <w:jc w:val="center"/>
              <w:rPr>
                <w:szCs w:val="24"/>
              </w:rPr>
            </w:pPr>
          </w:p>
        </w:tc>
        <w:tc>
          <w:tcPr>
            <w:tcW w:w="6095" w:type="dxa"/>
            <w:tcBorders>
              <w:top w:val="single" w:sz="4" w:space="0" w:color="auto"/>
              <w:left w:val="single" w:sz="4" w:space="0" w:color="auto"/>
              <w:bottom w:val="single" w:sz="4" w:space="0" w:color="auto"/>
              <w:right w:val="single" w:sz="4" w:space="0" w:color="auto"/>
            </w:tcBorders>
          </w:tcPr>
          <w:p w:rsidR="00122CD4" w:rsidRPr="008140D0" w:rsidRDefault="00122CD4" w:rsidP="005431D2">
            <w:pPr>
              <w:pStyle w:val="afe"/>
              <w:tabs>
                <w:tab w:val="clear" w:pos="1980"/>
              </w:tabs>
              <w:ind w:left="0" w:hanging="3"/>
              <w:rPr>
                <w:color w:val="FF0000"/>
                <w:szCs w:val="24"/>
              </w:rPr>
            </w:pPr>
            <w:r w:rsidRPr="008140D0">
              <w:rPr>
                <w:b/>
                <w:szCs w:val="24"/>
              </w:rPr>
              <w:t xml:space="preserve">Сумма значимостей критериев оценки заявок на Участие </w:t>
            </w:r>
            <w:r w:rsidRPr="00A957F8">
              <w:rPr>
                <w:b/>
                <w:szCs w:val="24"/>
              </w:rPr>
              <w:t xml:space="preserve">в </w:t>
            </w:r>
            <w:r w:rsidRPr="00A957F8">
              <w:rPr>
                <w:b/>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122CD4" w:rsidRPr="008140D0" w:rsidRDefault="00122CD4" w:rsidP="005431D2">
            <w:pPr>
              <w:jc w:val="center"/>
            </w:pPr>
            <w:r w:rsidRPr="008140D0">
              <w:rPr>
                <w:b/>
              </w:rPr>
              <w:t>100%</w:t>
            </w:r>
          </w:p>
        </w:tc>
      </w:tr>
    </w:tbl>
    <w:p w:rsidR="00122CD4" w:rsidRPr="00E15BE5" w:rsidRDefault="00122CD4" w:rsidP="00122CD4">
      <w:pPr>
        <w:jc w:val="both"/>
        <w:rPr>
          <w:b/>
          <w:smallCaps/>
        </w:rPr>
      </w:pPr>
    </w:p>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122CD4">
        <w:rPr>
          <w:b/>
        </w:rPr>
        <w:t>С</w:t>
      </w:r>
      <w:r w:rsidR="00122CD4" w:rsidRPr="006F0693">
        <w:rPr>
          <w:b/>
        </w:rPr>
        <w:t>умма вознаграждения за доставку</w:t>
      </w:r>
      <w:r w:rsidR="00122CD4" w:rsidRPr="006F0693">
        <w:t xml:space="preserve"> </w:t>
      </w:r>
      <w:r w:rsidR="00122CD4" w:rsidRPr="00122CD4">
        <w:rPr>
          <w:b/>
        </w:rPr>
        <w:t>одного неконве</w:t>
      </w:r>
      <w:r w:rsidR="00122CD4" w:rsidRPr="00122CD4">
        <w:rPr>
          <w:b/>
        </w:rPr>
        <w:t>р</w:t>
      </w:r>
      <w:r w:rsidR="00122CD4" w:rsidRPr="00122CD4">
        <w:rPr>
          <w:b/>
        </w:rPr>
        <w:t>тованного счета-извещения абоне</w:t>
      </w:r>
      <w:r w:rsidR="00122CD4" w:rsidRPr="00122CD4">
        <w:rPr>
          <w:b/>
        </w:rPr>
        <w:t>н</w:t>
      </w:r>
      <w:r w:rsidR="00122CD4" w:rsidRPr="00122CD4">
        <w:rPr>
          <w:b/>
        </w:rPr>
        <w:t>там</w:t>
      </w:r>
      <w:r w:rsidR="00B300E6" w:rsidRPr="007825DD">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1"/>
        <w:gridCol w:w="1984"/>
        <w:gridCol w:w="4394"/>
      </w:tblGrid>
      <w:tr w:rsidR="00B300E6" w:rsidRPr="00A4788C" w:rsidTr="00122CD4">
        <w:trPr>
          <w:tblHeader/>
        </w:trPr>
        <w:tc>
          <w:tcPr>
            <w:tcW w:w="326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w:t>
            </w:r>
            <w:r w:rsidRPr="00A4788C">
              <w:rPr>
                <w:b/>
                <w:bCs/>
                <w:szCs w:val="24"/>
              </w:rPr>
              <w:t>е</w:t>
            </w:r>
            <w:r w:rsidRPr="00A4788C">
              <w:rPr>
                <w:b/>
                <w:bCs/>
                <w:szCs w:val="24"/>
              </w:rPr>
              <w:t>нения</w:t>
            </w:r>
          </w:p>
        </w:tc>
        <w:tc>
          <w:tcPr>
            <w:tcW w:w="439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122CD4" w:rsidRPr="00A4788C" w:rsidTr="009B78C7">
        <w:trPr>
          <w:trHeight w:val="70"/>
        </w:trPr>
        <w:tc>
          <w:tcPr>
            <w:tcW w:w="3261" w:type="dxa"/>
            <w:tcBorders>
              <w:top w:val="single" w:sz="4" w:space="0" w:color="auto"/>
              <w:left w:val="single" w:sz="4" w:space="0" w:color="auto"/>
              <w:bottom w:val="single" w:sz="4" w:space="0" w:color="auto"/>
              <w:right w:val="single" w:sz="4" w:space="0" w:color="auto"/>
            </w:tcBorders>
          </w:tcPr>
          <w:p w:rsidR="00122CD4" w:rsidRPr="00A4788C" w:rsidRDefault="00122CD4" w:rsidP="006A7C5D">
            <w:pPr>
              <w:pStyle w:val="aff2"/>
              <w:spacing w:before="0" w:beforeAutospacing="0" w:after="0" w:afterAutospacing="0"/>
              <w:ind w:hanging="3"/>
            </w:pPr>
            <w:r>
              <w:rPr>
                <w:b/>
              </w:rPr>
              <w:t>С</w:t>
            </w:r>
            <w:r w:rsidRPr="006F0693">
              <w:rPr>
                <w:b/>
              </w:rPr>
              <w:t>умма во</w:t>
            </w:r>
            <w:r w:rsidRPr="006F0693">
              <w:rPr>
                <w:b/>
              </w:rPr>
              <w:t>з</w:t>
            </w:r>
            <w:r w:rsidRPr="006F0693">
              <w:rPr>
                <w:b/>
              </w:rPr>
              <w:t>награждения за доставку</w:t>
            </w:r>
            <w:r w:rsidRPr="006F0693">
              <w:t xml:space="preserve"> одного неконве</w:t>
            </w:r>
            <w:r w:rsidRPr="006F0693">
              <w:t>р</w:t>
            </w:r>
            <w:r w:rsidRPr="006F0693">
              <w:t>това</w:t>
            </w:r>
            <w:r w:rsidRPr="006F0693">
              <w:t>н</w:t>
            </w:r>
            <w:r w:rsidRPr="006F0693">
              <w:t>ного счета-извещения абонентам</w:t>
            </w:r>
            <w:r>
              <w:t xml:space="preserve"> </w:t>
            </w:r>
            <w:r w:rsidRPr="006F0693">
              <w:rPr>
                <w:rFonts w:eastAsia="Arial Unicode MS"/>
              </w:rPr>
              <w:t>в пред</w:t>
            </w:r>
            <w:r w:rsidRPr="006F0693">
              <w:rPr>
                <w:rFonts w:eastAsia="Arial Unicode MS"/>
              </w:rPr>
              <w:t>е</w:t>
            </w:r>
            <w:r w:rsidRPr="006F0693">
              <w:rPr>
                <w:rFonts w:eastAsia="Arial Unicode MS"/>
              </w:rPr>
              <w:t>лах г. Уфа – 1,60 руб. (один рубль ш</w:t>
            </w:r>
            <w:r w:rsidRPr="006F0693">
              <w:rPr>
                <w:rFonts w:eastAsia="Arial Unicode MS"/>
              </w:rPr>
              <w:t>е</w:t>
            </w:r>
            <w:r w:rsidRPr="006F0693">
              <w:rPr>
                <w:rFonts w:eastAsia="Arial Unicode MS"/>
              </w:rPr>
              <w:t>стьдесят к</w:t>
            </w:r>
            <w:r w:rsidRPr="006F0693">
              <w:rPr>
                <w:rFonts w:eastAsia="Arial Unicode MS"/>
              </w:rPr>
              <w:t>о</w:t>
            </w:r>
            <w:r w:rsidRPr="006F0693">
              <w:rPr>
                <w:rFonts w:eastAsia="Arial Unicode MS"/>
              </w:rPr>
              <w:t>пеек) без НДС</w:t>
            </w:r>
          </w:p>
        </w:tc>
        <w:tc>
          <w:tcPr>
            <w:tcW w:w="1984" w:type="dxa"/>
            <w:tcBorders>
              <w:top w:val="single" w:sz="4" w:space="0" w:color="auto"/>
              <w:left w:val="single" w:sz="4" w:space="0" w:color="auto"/>
              <w:bottom w:val="single" w:sz="4" w:space="0" w:color="auto"/>
              <w:right w:val="single" w:sz="4" w:space="0" w:color="auto"/>
            </w:tcBorders>
          </w:tcPr>
          <w:p w:rsidR="00122CD4" w:rsidRPr="00A4788C" w:rsidRDefault="00122CD4" w:rsidP="006A7C5D">
            <w:pPr>
              <w:pStyle w:val="aff2"/>
              <w:spacing w:before="0" w:beforeAutospacing="0" w:after="0" w:afterAutospacing="0"/>
            </w:pPr>
            <w:r w:rsidRPr="00A4788C">
              <w:t>Российский рубль</w:t>
            </w:r>
          </w:p>
        </w:tc>
        <w:tc>
          <w:tcPr>
            <w:tcW w:w="4394" w:type="dxa"/>
            <w:vMerge w:val="restart"/>
            <w:tcBorders>
              <w:top w:val="single" w:sz="4" w:space="0" w:color="auto"/>
              <w:left w:val="single" w:sz="4" w:space="0" w:color="auto"/>
              <w:right w:val="single" w:sz="4" w:space="0" w:color="auto"/>
            </w:tcBorders>
          </w:tcPr>
          <w:p w:rsidR="00122CD4" w:rsidRPr="00A4788C" w:rsidRDefault="00122CD4" w:rsidP="00122CD4">
            <w:pPr>
              <w:jc w:val="both"/>
            </w:pPr>
            <w:r w:rsidRPr="00A4788C">
              <w:t xml:space="preserve">Оценивается </w:t>
            </w:r>
            <w:r>
              <w:t>предложение</w:t>
            </w:r>
            <w:r w:rsidRPr="00A4788C">
              <w:t xml:space="preserve"> </w:t>
            </w:r>
            <w:r w:rsidRPr="006F0693">
              <w:rPr>
                <w:b/>
              </w:rPr>
              <w:t>сумм</w:t>
            </w:r>
            <w:r>
              <w:rPr>
                <w:b/>
              </w:rPr>
              <w:t>ы</w:t>
            </w:r>
            <w:r w:rsidRPr="006F0693">
              <w:rPr>
                <w:b/>
              </w:rPr>
              <w:t xml:space="preserve"> во</w:t>
            </w:r>
            <w:r w:rsidRPr="006F0693">
              <w:rPr>
                <w:b/>
              </w:rPr>
              <w:t>з</w:t>
            </w:r>
            <w:r w:rsidRPr="006F0693">
              <w:rPr>
                <w:b/>
              </w:rPr>
              <w:t>награждения за доставку</w:t>
            </w:r>
            <w:r w:rsidRPr="006F0693">
              <w:t xml:space="preserve"> одного н</w:t>
            </w:r>
            <w:r w:rsidRPr="006F0693">
              <w:t>е</w:t>
            </w:r>
            <w:r w:rsidRPr="006F0693">
              <w:t>конвертованного счета-извещения аб</w:t>
            </w:r>
            <w:r w:rsidRPr="006F0693">
              <w:t>о</w:t>
            </w:r>
            <w:r w:rsidRPr="006F0693">
              <w:t>нентам</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минимальным предл</w:t>
            </w:r>
            <w:r>
              <w:t>о</w:t>
            </w:r>
            <w:r>
              <w:t>жением участника процедуры заку</w:t>
            </w:r>
            <w:r>
              <w:t>п</w:t>
            </w:r>
            <w:r>
              <w:t>ки</w:t>
            </w:r>
          </w:p>
        </w:tc>
      </w:tr>
      <w:tr w:rsidR="00122CD4" w:rsidRPr="00A4788C" w:rsidTr="009B78C7">
        <w:trPr>
          <w:trHeight w:val="70"/>
        </w:trPr>
        <w:tc>
          <w:tcPr>
            <w:tcW w:w="3261" w:type="dxa"/>
            <w:tcBorders>
              <w:top w:val="single" w:sz="4" w:space="0" w:color="auto"/>
              <w:left w:val="single" w:sz="4" w:space="0" w:color="auto"/>
              <w:right w:val="single" w:sz="4" w:space="0" w:color="auto"/>
            </w:tcBorders>
          </w:tcPr>
          <w:p w:rsidR="00122CD4" w:rsidRPr="00A4788C" w:rsidRDefault="00122CD4" w:rsidP="006A7C5D">
            <w:pPr>
              <w:pStyle w:val="aff2"/>
              <w:spacing w:before="0" w:beforeAutospacing="0" w:after="0" w:afterAutospacing="0"/>
              <w:ind w:hanging="3"/>
            </w:pPr>
            <w:r>
              <w:rPr>
                <w:b/>
              </w:rPr>
              <w:t>Су</w:t>
            </w:r>
            <w:r w:rsidRPr="006F0693">
              <w:rPr>
                <w:b/>
              </w:rPr>
              <w:t>мма вознаграждения за доставку</w:t>
            </w:r>
            <w:r w:rsidRPr="006F0693">
              <w:t xml:space="preserve"> одного неконве</w:t>
            </w:r>
            <w:r w:rsidRPr="006F0693">
              <w:t>р</w:t>
            </w:r>
            <w:r w:rsidRPr="006F0693">
              <w:t>това</w:t>
            </w:r>
            <w:r w:rsidRPr="006F0693">
              <w:t>н</w:t>
            </w:r>
            <w:r w:rsidRPr="006F0693">
              <w:t>ного счета-извещения абонентам</w:t>
            </w:r>
            <w:r w:rsidRPr="006F0693">
              <w:rPr>
                <w:rFonts w:eastAsia="Arial Unicode MS"/>
              </w:rPr>
              <w:t xml:space="preserve"> </w:t>
            </w:r>
            <w:r w:rsidRPr="006F0693">
              <w:rPr>
                <w:rFonts w:eastAsia="Arial Unicode MS"/>
              </w:rPr>
              <w:t>в пределах гор</w:t>
            </w:r>
            <w:r w:rsidRPr="006F0693">
              <w:rPr>
                <w:rFonts w:eastAsia="Arial Unicode MS"/>
              </w:rPr>
              <w:t>о</w:t>
            </w:r>
            <w:r w:rsidRPr="006F0693">
              <w:rPr>
                <w:rFonts w:eastAsia="Arial Unicode MS"/>
              </w:rPr>
              <w:t>дов Сал</w:t>
            </w:r>
            <w:r w:rsidRPr="006F0693">
              <w:rPr>
                <w:rFonts w:eastAsia="Arial Unicode MS"/>
              </w:rPr>
              <w:t>а</w:t>
            </w:r>
            <w:r w:rsidRPr="006F0693">
              <w:rPr>
                <w:rFonts w:eastAsia="Arial Unicode MS"/>
              </w:rPr>
              <w:t xml:space="preserve">ват и Стерлитамак – </w:t>
            </w:r>
            <w:r w:rsidRPr="006F0693">
              <w:rPr>
                <w:rFonts w:eastAsia="Arial Unicode MS"/>
              </w:rPr>
              <w:lastRenderedPageBreak/>
              <w:t>1,50 руб. (один рубль пятьд</w:t>
            </w:r>
            <w:r w:rsidRPr="006F0693">
              <w:rPr>
                <w:rFonts w:eastAsia="Arial Unicode MS"/>
              </w:rPr>
              <w:t>е</w:t>
            </w:r>
            <w:r w:rsidRPr="006F0693">
              <w:rPr>
                <w:rFonts w:eastAsia="Arial Unicode MS"/>
              </w:rPr>
              <w:t>сят коп</w:t>
            </w:r>
            <w:r w:rsidRPr="006F0693">
              <w:rPr>
                <w:rFonts w:eastAsia="Arial Unicode MS"/>
              </w:rPr>
              <w:t>е</w:t>
            </w:r>
            <w:r w:rsidRPr="006F0693">
              <w:rPr>
                <w:rFonts w:eastAsia="Arial Unicode MS"/>
              </w:rPr>
              <w:t>ек) без НДС</w:t>
            </w:r>
          </w:p>
        </w:tc>
        <w:tc>
          <w:tcPr>
            <w:tcW w:w="1984" w:type="dxa"/>
            <w:tcBorders>
              <w:top w:val="single" w:sz="4" w:space="0" w:color="auto"/>
              <w:left w:val="single" w:sz="4" w:space="0" w:color="auto"/>
              <w:right w:val="single" w:sz="4" w:space="0" w:color="auto"/>
            </w:tcBorders>
          </w:tcPr>
          <w:p w:rsidR="00122CD4" w:rsidRPr="00A4788C" w:rsidRDefault="00122CD4" w:rsidP="006A7C5D">
            <w:pPr>
              <w:pStyle w:val="aff2"/>
              <w:spacing w:before="0" w:beforeAutospacing="0" w:after="0" w:afterAutospacing="0"/>
            </w:pPr>
            <w:r w:rsidRPr="00A4788C">
              <w:lastRenderedPageBreak/>
              <w:t>Российский рубль</w:t>
            </w:r>
          </w:p>
        </w:tc>
        <w:tc>
          <w:tcPr>
            <w:tcW w:w="4394" w:type="dxa"/>
            <w:vMerge/>
            <w:tcBorders>
              <w:left w:val="single" w:sz="4" w:space="0" w:color="auto"/>
              <w:right w:val="single" w:sz="4" w:space="0" w:color="auto"/>
            </w:tcBorders>
          </w:tcPr>
          <w:p w:rsidR="00122CD4" w:rsidRPr="00A4788C" w:rsidRDefault="00122CD4" w:rsidP="00E15BE5">
            <w:pPr>
              <w:jc w:val="both"/>
            </w:pP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t>ние 60 календа</w:t>
            </w:r>
            <w:r>
              <w:t>р</w:t>
            </w:r>
            <w:r>
              <w:t>ных дней с м</w:t>
            </w:r>
            <w:r>
              <w:t>о</w:t>
            </w:r>
            <w:r>
              <w:t>мента подпис</w:t>
            </w:r>
            <w:r>
              <w:t>а</w:t>
            </w:r>
            <w:r>
              <w:t>ния сторонами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кту поставки Товара в течение 60</w:t>
            </w:r>
            <w:r w:rsidR="00DA1055" w:rsidRPr="00DA1055">
              <w:t xml:space="preserve"> (ш</w:t>
            </w:r>
            <w:r w:rsidR="00DA1055">
              <w:t>естидесяти</w:t>
            </w:r>
            <w:r w:rsidR="00DA1055" w:rsidRPr="00DA1055">
              <w:t>) кале</w:t>
            </w:r>
            <w:r w:rsidR="00DA1055" w:rsidRPr="00DA1055">
              <w:t>н</w:t>
            </w:r>
            <w:r w:rsidR="00DA1055" w:rsidRPr="00DA1055">
              <w:t>дарных дней с момента подписания сторонами накладной</w:t>
            </w:r>
            <w:bookmarkEnd w:id="2"/>
            <w:r w:rsidRPr="001256E7">
              <w:t>). При согласии необходимо указать: «</w:t>
            </w:r>
            <w:r w:rsidR="00C631CA">
              <w:t>Согласие претендента на условие оплаты по дог</w:t>
            </w:r>
            <w:r w:rsidR="00C631CA">
              <w:t>о</w:t>
            </w:r>
            <w:r w:rsidR="00C631CA">
              <w:t>вору в течение 60 календарных дней с момента подписания сторонами накладной</w:t>
            </w:r>
            <w:r w:rsidRPr="001256E7">
              <w:t xml:space="preserve">, при отсутствии согласия указать: «Отказ от </w:t>
            </w:r>
            <w:r w:rsidR="00C631CA">
              <w:t>условий оплаты по договору в течение 60 календарных дней с момента подписания ст</w:t>
            </w:r>
            <w:r w:rsidR="00C631CA">
              <w:t>о</w:t>
            </w:r>
            <w:r w:rsidR="00C631CA">
              <w:t>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122CD4" w:rsidRPr="00122CD4">
        <w:rPr>
          <w:b/>
        </w:rPr>
        <w:t>С</w:t>
      </w:r>
      <w:r w:rsidR="00122CD4" w:rsidRPr="006F0693">
        <w:rPr>
          <w:b/>
        </w:rPr>
        <w:t>умма вознаграждения за доста</w:t>
      </w:r>
      <w:r w:rsidR="00122CD4" w:rsidRPr="006F0693">
        <w:rPr>
          <w:b/>
        </w:rPr>
        <w:t>в</w:t>
      </w:r>
      <w:r w:rsidR="00122CD4" w:rsidRPr="006F0693">
        <w:rPr>
          <w:b/>
        </w:rPr>
        <w:t>ку</w:t>
      </w:r>
      <w:r w:rsidR="00122CD4" w:rsidRPr="006F0693">
        <w:t xml:space="preserve"> </w:t>
      </w:r>
      <w:r w:rsidR="00122CD4" w:rsidRPr="00122CD4">
        <w:rPr>
          <w:b/>
        </w:rPr>
        <w:t>одного неконвертованного счета-извещения абонентам</w:t>
      </w:r>
      <w:r w:rsidR="00F3039C" w:rsidRPr="00A4788C">
        <w:t>», определяе</w:t>
      </w:r>
      <w:r w:rsidR="00F3039C" w:rsidRPr="00A4788C">
        <w:t>т</w:t>
      </w:r>
      <w:r w:rsidR="00F3039C" w:rsidRPr="00A4788C">
        <w:t>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06273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122CD4"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рейтинг, присуждаемый i-й заявке </w:t>
      </w:r>
      <w:r w:rsidRPr="00122CD4">
        <w:rPr>
          <w:rFonts w:ascii="Times New Roman" w:hAnsi="Times New Roman" w:cs="Times New Roman"/>
          <w:sz w:val="24"/>
          <w:szCs w:val="24"/>
        </w:rPr>
        <w:t>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122CD4">
        <w:rPr>
          <w:rFonts w:ascii="Times New Roman" w:hAnsi="Times New Roman" w:cs="Times New Roman"/>
          <w:sz w:val="24"/>
          <w:szCs w:val="24"/>
        </w:rPr>
        <w:t>A</w:t>
      </w:r>
      <w:r w:rsidRPr="00122CD4">
        <w:rPr>
          <w:rFonts w:ascii="Times New Roman" w:hAnsi="Times New Roman" w:cs="Times New Roman"/>
          <w:sz w:val="24"/>
          <w:szCs w:val="24"/>
          <w:vertAlign w:val="subscript"/>
        </w:rPr>
        <w:t>min</w:t>
      </w:r>
      <w:r w:rsidRPr="00122CD4">
        <w:rPr>
          <w:rFonts w:ascii="Times New Roman" w:hAnsi="Times New Roman" w:cs="Times New Roman"/>
          <w:sz w:val="24"/>
          <w:szCs w:val="24"/>
        </w:rPr>
        <w:t xml:space="preserve">–минимальное предложение участника запроса предложений </w:t>
      </w:r>
      <w:r w:rsidR="00122CD4" w:rsidRPr="00122CD4">
        <w:rPr>
          <w:rFonts w:ascii="Times New Roman" w:hAnsi="Times New Roman" w:cs="Times New Roman"/>
          <w:sz w:val="24"/>
          <w:szCs w:val="24"/>
        </w:rPr>
        <w:t>п</w:t>
      </w:r>
      <w:r w:rsidRPr="00122CD4">
        <w:rPr>
          <w:rFonts w:ascii="Times New Roman" w:hAnsi="Times New Roman" w:cs="Times New Roman"/>
          <w:sz w:val="24"/>
          <w:szCs w:val="24"/>
        </w:rPr>
        <w:t xml:space="preserve">о </w:t>
      </w:r>
      <w:r w:rsidR="00122CD4" w:rsidRPr="00122CD4">
        <w:rPr>
          <w:rFonts w:ascii="Times New Roman" w:hAnsi="Times New Roman" w:cs="Times New Roman"/>
          <w:b/>
          <w:sz w:val="24"/>
          <w:szCs w:val="24"/>
        </w:rPr>
        <w:t>сумм</w:t>
      </w:r>
      <w:r w:rsidR="00122CD4" w:rsidRPr="00122CD4">
        <w:rPr>
          <w:rFonts w:ascii="Times New Roman" w:hAnsi="Times New Roman" w:cs="Times New Roman"/>
          <w:b/>
          <w:sz w:val="24"/>
          <w:szCs w:val="24"/>
        </w:rPr>
        <w:t>е</w:t>
      </w:r>
      <w:r w:rsidR="00122CD4" w:rsidRPr="00122CD4">
        <w:rPr>
          <w:rFonts w:ascii="Times New Roman" w:hAnsi="Times New Roman" w:cs="Times New Roman"/>
          <w:b/>
          <w:sz w:val="24"/>
          <w:szCs w:val="24"/>
        </w:rPr>
        <w:t xml:space="preserve"> вознагра</w:t>
      </w:r>
      <w:r w:rsidR="00122CD4" w:rsidRPr="00122CD4">
        <w:rPr>
          <w:rFonts w:ascii="Times New Roman" w:hAnsi="Times New Roman" w:cs="Times New Roman"/>
          <w:b/>
          <w:sz w:val="24"/>
          <w:szCs w:val="24"/>
        </w:rPr>
        <w:t>ж</w:t>
      </w:r>
      <w:r w:rsidR="00122CD4" w:rsidRPr="00122CD4">
        <w:rPr>
          <w:rFonts w:ascii="Times New Roman" w:hAnsi="Times New Roman" w:cs="Times New Roman"/>
          <w:b/>
          <w:sz w:val="24"/>
          <w:szCs w:val="24"/>
        </w:rPr>
        <w:t>дения за доставку</w:t>
      </w:r>
      <w:r w:rsidR="00122CD4" w:rsidRPr="00122CD4">
        <w:rPr>
          <w:rFonts w:ascii="Times New Roman" w:hAnsi="Times New Roman" w:cs="Times New Roman"/>
          <w:sz w:val="24"/>
          <w:szCs w:val="24"/>
        </w:rPr>
        <w:t xml:space="preserve"> одного неконвертованного счета-извещения абонентам</w:t>
      </w:r>
      <w:r w:rsidRPr="00122CD4">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w:t>
      </w:r>
      <w:r w:rsidRPr="00122CD4">
        <w:rPr>
          <w:rFonts w:ascii="Times New Roman" w:hAnsi="Times New Roman" w:cs="Times New Roman"/>
          <w:sz w:val="24"/>
          <w:szCs w:val="24"/>
        </w:rPr>
        <w:t>д</w:t>
      </w:r>
      <w:r w:rsidRPr="00122CD4">
        <w:rPr>
          <w:rFonts w:ascii="Times New Roman" w:hAnsi="Times New Roman" w:cs="Times New Roman"/>
          <w:sz w:val="24"/>
          <w:szCs w:val="24"/>
        </w:rPr>
        <w:t>ложений, пр</w:t>
      </w:r>
      <w:r w:rsidRPr="00122CD4">
        <w:rPr>
          <w:rFonts w:ascii="Times New Roman" w:hAnsi="Times New Roman" w:cs="Times New Roman"/>
          <w:sz w:val="24"/>
          <w:szCs w:val="24"/>
        </w:rPr>
        <w:t>и</w:t>
      </w:r>
      <w:r w:rsidRPr="00122CD4">
        <w:rPr>
          <w:rFonts w:ascii="Times New Roman" w:hAnsi="Times New Roman" w:cs="Times New Roman"/>
          <w:sz w:val="24"/>
          <w:szCs w:val="24"/>
        </w:rPr>
        <w:t>веденное к единому базису сравнения</w:t>
      </w:r>
      <w:r>
        <w:rPr>
          <w:rFonts w:ascii="Times New Roman" w:hAnsi="Times New Roman" w:cs="Times New Roman"/>
          <w:sz w:val="24"/>
          <w:szCs w:val="24"/>
        </w:rPr>
        <w:t xml:space="preserve">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w:t>
      </w:r>
      <w:r w:rsidR="00122CD4" w:rsidRPr="00122CD4">
        <w:rPr>
          <w:rFonts w:ascii="Times New Roman" w:hAnsi="Times New Roman" w:cs="Times New Roman"/>
          <w:b/>
          <w:sz w:val="24"/>
          <w:szCs w:val="24"/>
        </w:rPr>
        <w:t>сумм</w:t>
      </w:r>
      <w:r w:rsidR="00122CD4" w:rsidRPr="00122CD4">
        <w:rPr>
          <w:rFonts w:ascii="Times New Roman" w:hAnsi="Times New Roman" w:cs="Times New Roman"/>
          <w:b/>
          <w:sz w:val="24"/>
          <w:szCs w:val="24"/>
        </w:rPr>
        <w:t>е</w:t>
      </w:r>
      <w:r w:rsidR="00122CD4" w:rsidRPr="00122CD4">
        <w:rPr>
          <w:rFonts w:ascii="Times New Roman" w:hAnsi="Times New Roman" w:cs="Times New Roman"/>
          <w:b/>
          <w:sz w:val="24"/>
          <w:szCs w:val="24"/>
        </w:rPr>
        <w:t xml:space="preserve"> вознагра</w:t>
      </w:r>
      <w:r w:rsidR="00122CD4" w:rsidRPr="00122CD4">
        <w:rPr>
          <w:rFonts w:ascii="Times New Roman" w:hAnsi="Times New Roman" w:cs="Times New Roman"/>
          <w:b/>
          <w:sz w:val="24"/>
          <w:szCs w:val="24"/>
        </w:rPr>
        <w:t>ж</w:t>
      </w:r>
      <w:r w:rsidR="00122CD4" w:rsidRPr="00122CD4">
        <w:rPr>
          <w:rFonts w:ascii="Times New Roman" w:hAnsi="Times New Roman" w:cs="Times New Roman"/>
          <w:b/>
          <w:sz w:val="24"/>
          <w:szCs w:val="24"/>
        </w:rPr>
        <w:t>дения за доставку</w:t>
      </w:r>
      <w:r w:rsidR="00122CD4" w:rsidRPr="00122CD4">
        <w:rPr>
          <w:rFonts w:ascii="Times New Roman" w:hAnsi="Times New Roman" w:cs="Times New Roman"/>
          <w:sz w:val="24"/>
          <w:szCs w:val="24"/>
        </w:rPr>
        <w:t xml:space="preserve"> одного неконвертованного счета-извещения абонентам</w:t>
      </w:r>
      <w:r w:rsidR="00122CD4">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00122CD4" w:rsidRPr="00122CD4">
        <w:rPr>
          <w:b/>
        </w:rPr>
        <w:t>С</w:t>
      </w:r>
      <w:r w:rsidR="00122CD4" w:rsidRPr="006F0693">
        <w:rPr>
          <w:b/>
        </w:rPr>
        <w:t>умма вознаграждения за доставку</w:t>
      </w:r>
      <w:r w:rsidR="00122CD4" w:rsidRPr="006F0693">
        <w:t xml:space="preserve"> </w:t>
      </w:r>
      <w:r w:rsidR="00122CD4" w:rsidRPr="00122CD4">
        <w:rPr>
          <w:b/>
        </w:rPr>
        <w:t>о</w:t>
      </w:r>
      <w:r w:rsidR="00122CD4" w:rsidRPr="00122CD4">
        <w:rPr>
          <w:b/>
        </w:rPr>
        <w:t>д</w:t>
      </w:r>
      <w:r w:rsidR="00122CD4" w:rsidRPr="00122CD4">
        <w:rPr>
          <w:b/>
        </w:rPr>
        <w:t>ного неконвертованного счета-извещения абонентам</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Согласие претендента на условие оплаты по договору в течение 60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0 баллов</w:t>
      </w:r>
      <w:r>
        <w:t>.</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E7C" w:rsidRDefault="00356E7C">
      <w:r>
        <w:separator/>
      </w:r>
    </w:p>
  </w:endnote>
  <w:endnote w:type="continuationSeparator" w:id="1">
    <w:p w:rsidR="00356E7C" w:rsidRDefault="00356E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E7C" w:rsidRDefault="00356E7C">
      <w:r>
        <w:separator/>
      </w:r>
    </w:p>
  </w:footnote>
  <w:footnote w:type="continuationSeparator" w:id="1">
    <w:p w:rsidR="00356E7C" w:rsidRDefault="00356E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252B4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252B4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22CD4">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2CD4"/>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52B4A"/>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56E7C"/>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10</cp:revision>
  <cp:lastPrinted>2015-01-15T11:16:00Z</cp:lastPrinted>
  <dcterms:created xsi:type="dcterms:W3CDTF">2015-01-20T09:26:00Z</dcterms:created>
  <dcterms:modified xsi:type="dcterms:W3CDTF">2015-03-05T07:12:00Z</dcterms:modified>
</cp:coreProperties>
</file>