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63B5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63B5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63B5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C08E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71B1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F71B15" w:rsidRPr="00C91201" w:rsidRDefault="00F71B15" w:rsidP="00F71B15">
            <w:pPr>
              <w:autoSpaceDE w:val="0"/>
              <w:autoSpaceDN w:val="0"/>
              <w:adjustRightInd w:val="0"/>
              <w:rPr>
                <w:rFonts w:eastAsia="Calibri"/>
                <w:iCs/>
                <w:color w:val="000000"/>
              </w:rPr>
            </w:pPr>
            <w:r w:rsidRPr="00C91201">
              <w:rPr>
                <w:rFonts w:eastAsia="Calibri"/>
                <w:iCs/>
                <w:color w:val="000000"/>
              </w:rPr>
              <w:t>Исмагилов Рустем Альфритович</w:t>
            </w:r>
          </w:p>
          <w:p w:rsidR="0014229A" w:rsidRPr="00963B5A" w:rsidRDefault="00F71B15" w:rsidP="00F71B15">
            <w:pPr>
              <w:pStyle w:val="Default"/>
            </w:pPr>
            <w:r w:rsidRPr="00C91201">
              <w:rPr>
                <w:bCs/>
              </w:rPr>
              <w:t>тел</w:t>
            </w:r>
            <w:r w:rsidRPr="00963B5A">
              <w:rPr>
                <w:bCs/>
              </w:rPr>
              <w:t xml:space="preserve">. + 7 (347) 221-56-53 </w:t>
            </w:r>
            <w:r w:rsidRPr="00C91201">
              <w:rPr>
                <w:bCs/>
                <w:lang w:val="en-US"/>
              </w:rPr>
              <w:t>e</w:t>
            </w:r>
            <w:r w:rsidRPr="00963B5A">
              <w:rPr>
                <w:bCs/>
              </w:rPr>
              <w:t>-</w:t>
            </w:r>
            <w:r w:rsidRPr="00C91201">
              <w:rPr>
                <w:bCs/>
                <w:lang w:val="en-US"/>
              </w:rPr>
              <w:t>mail</w:t>
            </w:r>
            <w:r w:rsidRPr="00963B5A">
              <w:rPr>
                <w:bCs/>
              </w:rPr>
              <w:t>:</w:t>
            </w:r>
            <w:r w:rsidRPr="00963B5A">
              <w:rPr>
                <w:rFonts w:eastAsia="Times New Roman"/>
                <w:color w:val="777777"/>
                <w:lang w:eastAsia="ru-RU"/>
              </w:rPr>
              <w:t xml:space="preserve"> </w:t>
            </w:r>
            <w:hyperlink r:id="rId18" w:history="1">
              <w:r w:rsidRPr="00C91201">
                <w:rPr>
                  <w:rStyle w:val="a3"/>
                  <w:lang w:val="en-US"/>
                </w:rPr>
                <w:t>r</w:t>
              </w:r>
              <w:r w:rsidRPr="00963B5A">
                <w:rPr>
                  <w:rStyle w:val="a3"/>
                </w:rPr>
                <w:t>.</w:t>
              </w:r>
              <w:r w:rsidRPr="00C91201">
                <w:rPr>
                  <w:rStyle w:val="a3"/>
                  <w:lang w:val="en-US"/>
                </w:rPr>
                <w:t>ismagilov</w:t>
              </w:r>
              <w:r w:rsidRPr="00963B5A">
                <w:rPr>
                  <w:rStyle w:val="a3"/>
                </w:rPr>
                <w:t>2@</w:t>
              </w:r>
              <w:r w:rsidRPr="00C91201">
                <w:rPr>
                  <w:rStyle w:val="a3"/>
                  <w:lang w:val="en-US"/>
                </w:rPr>
                <w:t>bashtel</w:t>
              </w:r>
              <w:r w:rsidRPr="00963B5A">
                <w:rPr>
                  <w:rStyle w:val="a3"/>
                </w:rPr>
                <w:t>.</w:t>
              </w:r>
              <w:r w:rsidRPr="00C91201">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63B5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F71B15">
            <w:r>
              <w:t>«</w:t>
            </w:r>
            <w:r w:rsidR="00F71B15">
              <w:t>10</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71B15">
              <w:t>10</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314D52">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F71B15">
            <w:r>
              <w:t>«</w:t>
            </w:r>
            <w:r w:rsidR="00F71B15">
              <w:t>01</w:t>
            </w:r>
            <w:r w:rsidR="000F4823" w:rsidRPr="000F4823">
              <w:t xml:space="preserve">» </w:t>
            </w:r>
            <w:r w:rsidR="00F71B15">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F71B15">
            <w:pPr>
              <w:rPr>
                <w:highlight w:val="lightGray"/>
              </w:rPr>
            </w:pPr>
            <w:r>
              <w:rPr>
                <w:iCs/>
              </w:rPr>
              <w:t>«</w:t>
            </w:r>
            <w:r w:rsidR="00F71B15">
              <w:rPr>
                <w:iCs/>
              </w:rPr>
              <w:t>01</w:t>
            </w:r>
            <w:r w:rsidR="000F4823" w:rsidRPr="000F4823">
              <w:rPr>
                <w:iCs/>
              </w:rPr>
              <w:t xml:space="preserve">» </w:t>
            </w:r>
            <w:r w:rsidR="00F71B15">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F71B15">
              <w:t>03</w:t>
            </w:r>
            <w:r w:rsidRPr="000F4823">
              <w:t xml:space="preserve">» </w:t>
            </w:r>
            <w:r w:rsidR="00F71B15">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F71B15">
              <w:t>04</w:t>
            </w:r>
            <w:r w:rsidRPr="000F4823">
              <w:t xml:space="preserve">» </w:t>
            </w:r>
            <w:r w:rsidR="00F71B15">
              <w:t>марта</w:t>
            </w:r>
            <w:r w:rsidR="0058706C">
              <w:rPr>
                <w:rFonts w:eastAsia="Calibri"/>
                <w:iCs/>
                <w:color w:val="000000"/>
              </w:rPr>
              <w:t xml:space="preserve"> 2016 года</w:t>
            </w:r>
            <w:r w:rsidRPr="000F4823">
              <w:t xml:space="preserve"> в 1</w:t>
            </w:r>
            <w:r w:rsidR="00314D52">
              <w:t>4</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71B15">
              <w:t>15</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5A6DC3" w:rsidP="005A6DC3">
            <w:pPr>
              <w:jc w:val="both"/>
            </w:pPr>
            <w:r>
              <w:t>3</w:t>
            </w:r>
            <w:r w:rsidRPr="0078652E">
              <w:t xml:space="preserve"> (</w:t>
            </w:r>
            <w:r>
              <w:t>три</w:t>
            </w:r>
            <w:r w:rsidRPr="0078652E">
              <w:t xml:space="preserve">) победителя </w:t>
            </w:r>
          </w:p>
          <w:p w:rsidR="005A6DC3" w:rsidRPr="00930590" w:rsidRDefault="005A6DC3" w:rsidP="005A6DC3">
            <w:pPr>
              <w:jc w:val="both"/>
              <w:rPr>
                <w:iCs/>
              </w:rPr>
            </w:pPr>
            <w:r w:rsidRPr="0078652E">
              <w:rPr>
                <w:i/>
                <w:color w:val="FF0000"/>
              </w:rPr>
              <w:t xml:space="preserve"> </w:t>
            </w:r>
            <w:r w:rsidRPr="00930590">
              <w:rPr>
                <w:iCs/>
              </w:rPr>
              <w:t xml:space="preserve">Победителями </w:t>
            </w:r>
            <w:r w:rsidRPr="00930590">
              <w:t xml:space="preserve">Открытого запроса предложений </w:t>
            </w:r>
            <w:r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5A6DC3" w:rsidRPr="00930590" w:rsidRDefault="005A6DC3" w:rsidP="005A6DC3">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Pr>
                <w:iCs/>
              </w:rPr>
              <w:t>8</w:t>
            </w:r>
            <w:r w:rsidRPr="00930590">
              <w:rPr>
                <w:iCs/>
              </w:rPr>
              <w:t xml:space="preserve"> настоящей Документации об Открытом </w:t>
            </w:r>
            <w:r w:rsidRPr="00930590">
              <w:t>запросе предложений</w:t>
            </w:r>
            <w:r w:rsidRPr="00930590">
              <w:rPr>
                <w:iCs/>
              </w:rPr>
              <w:t>.</w:t>
            </w:r>
          </w:p>
          <w:p w:rsidR="005A6DC3" w:rsidRPr="00930590" w:rsidRDefault="005A6DC3" w:rsidP="005A6DC3">
            <w:pPr>
              <w:jc w:val="both"/>
              <w:rPr>
                <w:iCs/>
              </w:rPr>
            </w:pPr>
          </w:p>
          <w:p w:rsidR="005A6DC3" w:rsidRPr="00930590" w:rsidRDefault="005A6DC3" w:rsidP="005A6DC3">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5A6DC3" w:rsidRPr="00930590" w:rsidRDefault="005A6DC3" w:rsidP="005A6DC3">
            <w:pPr>
              <w:jc w:val="both"/>
              <w:rPr>
                <w:iCs/>
              </w:rPr>
            </w:pPr>
            <w:r w:rsidRPr="00930590">
              <w:rPr>
                <w:iCs/>
              </w:rPr>
              <w:t xml:space="preserve">Участнику, заявке которого присвоен №1 – </w:t>
            </w:r>
            <w:r>
              <w:rPr>
                <w:iCs/>
              </w:rPr>
              <w:t>5</w:t>
            </w:r>
            <w:r w:rsidRPr="00930590">
              <w:rPr>
                <w:iCs/>
              </w:rPr>
              <w:t>0% от общего объёма Работ по Лоту;</w:t>
            </w:r>
          </w:p>
          <w:p w:rsidR="005A6DC3" w:rsidRPr="00930590" w:rsidRDefault="005A6DC3" w:rsidP="005A6DC3">
            <w:pPr>
              <w:jc w:val="both"/>
              <w:rPr>
                <w:iCs/>
              </w:rPr>
            </w:pPr>
            <w:r w:rsidRPr="00930590">
              <w:rPr>
                <w:iCs/>
              </w:rPr>
              <w:t>Участнику, заявке которого присвоен №2 – 30% от общего объёма Работ по Лоту.</w:t>
            </w:r>
          </w:p>
          <w:p w:rsidR="005A6DC3" w:rsidRPr="00930590" w:rsidRDefault="005A6DC3" w:rsidP="005A6DC3">
            <w:pPr>
              <w:jc w:val="both"/>
              <w:rPr>
                <w:iCs/>
              </w:rPr>
            </w:pPr>
            <w:r w:rsidRPr="00930590">
              <w:rPr>
                <w:iCs/>
              </w:rPr>
              <w:t xml:space="preserve">Участнику, заявке которого присвоен №3 – </w:t>
            </w:r>
            <w:r>
              <w:rPr>
                <w:iCs/>
              </w:rPr>
              <w:t>2</w:t>
            </w:r>
            <w:r w:rsidRPr="00930590">
              <w:rPr>
                <w:iCs/>
              </w:rPr>
              <w:t>0% от общего объёма Работ по Лоту.</w:t>
            </w:r>
          </w:p>
          <w:p w:rsidR="005A6DC3" w:rsidRPr="00930590" w:rsidRDefault="005A6DC3" w:rsidP="005A6DC3">
            <w:pPr>
              <w:ind w:firstLine="34"/>
              <w:jc w:val="both"/>
              <w:rPr>
                <w:iCs/>
              </w:rPr>
            </w:pPr>
          </w:p>
          <w:p w:rsidR="005A6DC3" w:rsidRPr="00930590" w:rsidRDefault="005A6DC3" w:rsidP="005A6DC3">
            <w:pPr>
              <w:jc w:val="both"/>
              <w:rPr>
                <w:iCs/>
              </w:rPr>
            </w:pPr>
            <w:r w:rsidRPr="00930590">
              <w:rPr>
                <w:iCs/>
              </w:rPr>
              <w:t xml:space="preserve">В случае признания двух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5A6DC3" w:rsidRPr="00930590" w:rsidRDefault="005A6DC3" w:rsidP="005A6DC3">
            <w:pPr>
              <w:jc w:val="both"/>
              <w:rPr>
                <w:iCs/>
              </w:rPr>
            </w:pPr>
            <w:r w:rsidRPr="00930590">
              <w:rPr>
                <w:iCs/>
              </w:rPr>
              <w:t>Участнику, заявке которого присвоен №1 – 60% от общего объёма Работ по Лоту;</w:t>
            </w:r>
          </w:p>
          <w:p w:rsidR="005A6DC3" w:rsidRPr="00930590" w:rsidRDefault="005A6DC3" w:rsidP="005A6DC3">
            <w:pPr>
              <w:jc w:val="both"/>
              <w:rPr>
                <w:iCs/>
              </w:rPr>
            </w:pPr>
            <w:r w:rsidRPr="00930590">
              <w:rPr>
                <w:iCs/>
              </w:rPr>
              <w:t xml:space="preserve">Участнику, заявке которого присвоен №2 – 40% от общего объёма </w:t>
            </w:r>
            <w:r w:rsidRPr="00930590">
              <w:rPr>
                <w:iCs/>
              </w:rPr>
              <w:lastRenderedPageBreak/>
              <w:t>Работ по Лоту.</w:t>
            </w:r>
          </w:p>
          <w:p w:rsidR="005A6DC3" w:rsidRPr="00930590" w:rsidRDefault="005A6DC3" w:rsidP="005A6DC3">
            <w:pPr>
              <w:jc w:val="both"/>
              <w:rPr>
                <w:iCs/>
              </w:rPr>
            </w:pPr>
          </w:p>
          <w:p w:rsidR="0014229A" w:rsidRPr="005C24A0" w:rsidRDefault="005A6DC3" w:rsidP="005A6DC3">
            <w:pPr>
              <w:jc w:val="both"/>
            </w:pPr>
            <w:r w:rsidRPr="00930590">
              <w:t xml:space="preserve">В случае признания одного Участника Победителем Открытого запроса предложений </w:t>
            </w:r>
            <w:r w:rsidRPr="00930590">
              <w:rPr>
                <w:iCs/>
              </w:rPr>
              <w:t>общий планируемый объём Работ по Лоту составит – 100%</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71B15" w:rsidRPr="00972152" w:rsidRDefault="00F71B15" w:rsidP="00F71B15">
            <w:r>
              <w:rPr>
                <w:b/>
              </w:rPr>
              <w:t xml:space="preserve">Организацию </w:t>
            </w:r>
            <w:r w:rsidRPr="00467E73">
              <w:rPr>
                <w:b/>
              </w:rPr>
              <w:t>FTTx доступа корпоративным и бизнес-клиентам в г. Уфа и РБ</w:t>
            </w:r>
            <w:r w:rsidRPr="00972152">
              <w:rPr>
                <w:b/>
              </w:rPr>
              <w:t>.</w:t>
            </w:r>
            <w:r w:rsidRPr="00972152">
              <w:t xml:space="preserve"> </w:t>
            </w:r>
          </w:p>
          <w:p w:rsidR="0014229A" w:rsidRPr="00227C39" w:rsidRDefault="00F71B15" w:rsidP="00F71B15">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Расчетом стоимости за единицу работ</w:t>
            </w:r>
            <w:r w:rsidRPr="00972152">
              <w:rPr>
                <w:rFonts w:eastAsia="Times New Roman"/>
                <w:lang w:eastAsia="ru-RU"/>
              </w:rPr>
              <w:t xml:space="preserve">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Техническим заданием</w:t>
            </w:r>
            <w:r w:rsidRPr="00972152">
              <w:rPr>
                <w:rFonts w:eastAsia="Times New Roman"/>
                <w:lang w:eastAsia="ru-RU"/>
              </w:rPr>
              <w:t xml:space="preserve"> (Приложение №</w:t>
            </w:r>
            <w:r>
              <w:rPr>
                <w:rFonts w:eastAsia="Times New Roman"/>
                <w:lang w:eastAsia="ru-RU"/>
              </w:rPr>
              <w:t>1.2</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F71B15">
            <w:pPr>
              <w:jc w:val="both"/>
            </w:pPr>
            <w:r>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.1,1.2,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F05CF" w:rsidRPr="00361C1A" w:rsidRDefault="009F05CF" w:rsidP="009F05CF">
            <w:pPr>
              <w:autoSpaceDE w:val="0"/>
              <w:autoSpaceDN w:val="0"/>
              <w:adjustRightInd w:val="0"/>
              <w:jc w:val="both"/>
              <w:rPr>
                <w:iCs/>
              </w:rPr>
            </w:pPr>
            <w:r w:rsidRPr="00361C1A">
              <w:rPr>
                <w:rFonts w:eastAsia="Calibri"/>
                <w:iCs/>
                <w:color w:val="000000"/>
              </w:rPr>
              <w:t xml:space="preserve">Начальная (максимальная) </w:t>
            </w:r>
            <w:r w:rsidRPr="00361C1A">
              <w:t>стоимость работ (с учетом материалов) без НДС</w:t>
            </w:r>
            <w:r w:rsidRPr="00361C1A">
              <w:rPr>
                <w:rFonts w:eastAsia="Calibri"/>
                <w:iCs/>
                <w:color w:val="000000"/>
              </w:rPr>
              <w:t xml:space="preserve"> </w:t>
            </w:r>
            <w:r w:rsidRPr="00361C1A">
              <w:rPr>
                <w:iCs/>
              </w:rPr>
              <w:t xml:space="preserve">составляет 17 000 000,00 (Семнадцать миллионов) рублей  00 коп., кроме того сумма НДС (18%) 3 060 000,00 рублей. </w:t>
            </w:r>
          </w:p>
          <w:p w:rsidR="009F05CF" w:rsidRDefault="009F05CF" w:rsidP="009F05CF">
            <w:pPr>
              <w:autoSpaceDE w:val="0"/>
              <w:autoSpaceDN w:val="0"/>
              <w:adjustRightInd w:val="0"/>
              <w:jc w:val="both"/>
              <w:rPr>
                <w:iCs/>
              </w:rPr>
            </w:pPr>
            <w:r w:rsidRPr="008222C6">
              <w:rPr>
                <w:rFonts w:eastAsia="Calibri"/>
                <w:iCs/>
                <w:color w:val="000000"/>
              </w:rPr>
              <w:t xml:space="preserve">Начальная (максимальная) </w:t>
            </w:r>
            <w:r w:rsidRPr="00361C1A">
              <w:t>стоимость работ (с учетом материалов)</w:t>
            </w:r>
            <w:r>
              <w:t>,</w:t>
            </w:r>
            <w:r w:rsidRPr="00361C1A">
              <w:t xml:space="preserve"> </w:t>
            </w:r>
            <w:r>
              <w:t>с учетом суммы</w:t>
            </w:r>
            <w:r w:rsidRPr="00361C1A">
              <w:t xml:space="preserve"> НДС</w:t>
            </w:r>
            <w:r w:rsidRPr="00361C1A">
              <w:rPr>
                <w:rFonts w:eastAsia="Calibri"/>
                <w:iCs/>
                <w:color w:val="000000"/>
              </w:rPr>
              <w:t xml:space="preserve"> </w:t>
            </w:r>
            <w:r w:rsidRPr="00361C1A">
              <w:rPr>
                <w:iCs/>
              </w:rPr>
              <w:t xml:space="preserve">составляет </w:t>
            </w:r>
            <w:r>
              <w:rPr>
                <w:iCs/>
              </w:rPr>
              <w:t xml:space="preserve">20 060 000,00 </w:t>
            </w:r>
            <w:r w:rsidRPr="00361C1A">
              <w:rPr>
                <w:iCs/>
              </w:rPr>
              <w:t xml:space="preserve"> рублей  00 коп.</w:t>
            </w:r>
          </w:p>
          <w:p w:rsidR="005A6DC3" w:rsidRDefault="005A6DC3" w:rsidP="009F05CF">
            <w:pPr>
              <w:autoSpaceDE w:val="0"/>
              <w:autoSpaceDN w:val="0"/>
              <w:adjustRightInd w:val="0"/>
              <w:jc w:val="both"/>
              <w:rPr>
                <w:iCs/>
              </w:rPr>
            </w:pPr>
            <w:r w:rsidRPr="001D3803">
              <w:rPr>
                <w:iCs/>
              </w:rPr>
              <w:t xml:space="preserve">Начальная (максимальная) </w:t>
            </w:r>
            <w:r w:rsidRPr="00361C1A">
              <w:t>стоимость работ</w:t>
            </w:r>
            <w:r w:rsidRPr="001D3803">
              <w:rPr>
                <w:iCs/>
              </w:rPr>
              <w:t xml:space="preserve"> является предельной общей </w:t>
            </w:r>
            <w:r>
              <w:rPr>
                <w:iCs/>
              </w:rPr>
              <w:t>стоимостью</w:t>
            </w:r>
            <w:r w:rsidRPr="001D3803">
              <w:rPr>
                <w:iCs/>
              </w:rPr>
              <w:t xml:space="preserve"> договора, на которую возможно заказать товары (работы, услуги) в течение срока его действия</w:t>
            </w:r>
            <w:r w:rsidR="00DE7630">
              <w:rPr>
                <w:iCs/>
              </w:rPr>
              <w:t>.</w:t>
            </w:r>
          </w:p>
          <w:p w:rsidR="00DE7630" w:rsidRDefault="00DE7630" w:rsidP="009F05CF">
            <w:pPr>
              <w:autoSpaceDE w:val="0"/>
              <w:autoSpaceDN w:val="0"/>
              <w:adjustRightInd w:val="0"/>
              <w:jc w:val="both"/>
              <w:rPr>
                <w:rFonts w:eastAsia="Calibri"/>
                <w:iCs/>
              </w:rPr>
            </w:pPr>
            <w:r>
              <w:rPr>
                <w:rFonts w:eastAsia="Calibri"/>
                <w:iCs/>
              </w:rPr>
              <w:t xml:space="preserve">Начальная (максимальная) </w:t>
            </w:r>
            <w:r w:rsidRPr="00361C1A">
              <w:t>стоимость работ</w:t>
            </w:r>
            <w:r w:rsidRPr="000A059C">
              <w:rPr>
                <w:rFonts w:eastAsia="Calibri"/>
                <w:iCs/>
              </w:rPr>
              <w:t xml:space="preserve"> указана без </w:t>
            </w:r>
            <w:r>
              <w:rPr>
                <w:rFonts w:eastAsia="Calibri"/>
                <w:iCs/>
              </w:rPr>
              <w:t xml:space="preserve">учета </w:t>
            </w:r>
            <w:r>
              <w:rPr>
                <w:rFonts w:eastAsia="Calibri"/>
                <w:iCs/>
              </w:rPr>
              <w:lastRenderedPageBreak/>
              <w:t>коэффициента снижения,</w:t>
            </w:r>
            <w:r w:rsidRPr="000A059C">
              <w:rPr>
                <w:rFonts w:eastAsia="Calibri"/>
                <w:iCs/>
              </w:rPr>
              <w:t xml:space="preserve"> по данной предельной сумме Претенденты не направляют свои предложения</w:t>
            </w:r>
            <w:r>
              <w:rPr>
                <w:rFonts w:eastAsia="Calibri"/>
                <w:iCs/>
              </w:rPr>
              <w:t>.</w:t>
            </w:r>
          </w:p>
          <w:p w:rsidR="00DE7630" w:rsidRDefault="00DE7630" w:rsidP="009F05CF">
            <w:pPr>
              <w:autoSpaceDE w:val="0"/>
              <w:autoSpaceDN w:val="0"/>
              <w:adjustRightInd w:val="0"/>
              <w:jc w:val="both"/>
              <w:rPr>
                <w:rFonts w:eastAsia="Calibri"/>
                <w:iCs/>
              </w:rPr>
            </w:pPr>
          </w:p>
          <w:p w:rsidR="00DE7630" w:rsidRPr="00DE7630" w:rsidRDefault="00DE7630" w:rsidP="00DE7630">
            <w:pPr>
              <w:autoSpaceDE w:val="0"/>
              <w:autoSpaceDN w:val="0"/>
              <w:adjustRightInd w:val="0"/>
              <w:jc w:val="both"/>
              <w:rPr>
                <w:rFonts w:eastAsia="Calibri"/>
                <w:iCs/>
              </w:rPr>
            </w:pPr>
            <w:r w:rsidRPr="00DE7630">
              <w:rPr>
                <w:rFonts w:eastAsia="Calibri"/>
                <w:iCs/>
              </w:rPr>
              <w:t xml:space="preserve">Начальная (максимальная) стоимость за единицу  работ (Приложение № 1.1 к </w:t>
            </w:r>
            <w:r w:rsidRPr="00DE7630">
              <w:t>Документации о закупке</w:t>
            </w:r>
            <w:r w:rsidRPr="00DE7630">
              <w:rPr>
                <w:rFonts w:eastAsia="Calibri"/>
                <w:iCs/>
              </w:rPr>
              <w:t>) указана без учета коэффициента снижения, по данной предельной сумме Претенденты не направляют свои предложения.</w:t>
            </w:r>
          </w:p>
          <w:p w:rsidR="00DE7630" w:rsidRPr="00DE7630" w:rsidRDefault="00DE7630" w:rsidP="00DE7630">
            <w:pPr>
              <w:autoSpaceDE w:val="0"/>
              <w:autoSpaceDN w:val="0"/>
              <w:adjustRightInd w:val="0"/>
              <w:jc w:val="both"/>
              <w:rPr>
                <w:rFonts w:eastAsia="Calibri"/>
                <w:iCs/>
                <w:sz w:val="16"/>
                <w:szCs w:val="16"/>
              </w:rPr>
            </w:pPr>
          </w:p>
          <w:p w:rsidR="00DE7630" w:rsidRPr="00DE7630" w:rsidRDefault="00DE7630" w:rsidP="00DE7630">
            <w:pPr>
              <w:autoSpaceDE w:val="0"/>
              <w:autoSpaceDN w:val="0"/>
              <w:adjustRightInd w:val="0"/>
              <w:jc w:val="both"/>
              <w:rPr>
                <w:rFonts w:eastAsia="Calibri"/>
                <w:iCs/>
              </w:rPr>
            </w:pPr>
            <w:r w:rsidRPr="00DE7630">
              <w:rPr>
                <w:rFonts w:eastAsia="Calibri"/>
                <w:iCs/>
              </w:rPr>
              <w:t xml:space="preserve">Коэффициент снижения не может быть больше или равен 1(единице).  Коэффициент снижения применяется единым ко всем позициям работ Приложения №1.1 и применяется к начальной (максимальной) цене договора.                 </w:t>
            </w:r>
          </w:p>
          <w:p w:rsidR="00DE7630" w:rsidRPr="00DE7630" w:rsidRDefault="00DE7630" w:rsidP="00DE7630">
            <w:pPr>
              <w:autoSpaceDE w:val="0"/>
              <w:autoSpaceDN w:val="0"/>
              <w:adjustRightInd w:val="0"/>
              <w:jc w:val="both"/>
              <w:rPr>
                <w:rFonts w:eastAsia="Calibri"/>
                <w:iCs/>
              </w:rPr>
            </w:pPr>
            <w:r w:rsidRPr="00DE7630">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DE7630" w:rsidRPr="00DE7630" w:rsidRDefault="00DE7630" w:rsidP="00DE7630">
            <w:pPr>
              <w:autoSpaceDE w:val="0"/>
              <w:autoSpaceDN w:val="0"/>
              <w:adjustRightInd w:val="0"/>
              <w:jc w:val="both"/>
              <w:rPr>
                <w:rFonts w:eastAsia="Calibri"/>
                <w:iCs/>
                <w:sz w:val="16"/>
                <w:szCs w:val="16"/>
              </w:rPr>
            </w:pPr>
          </w:p>
          <w:p w:rsidR="00DE7630" w:rsidRPr="00DE7630" w:rsidRDefault="00DE7630" w:rsidP="00DE7630">
            <w:pPr>
              <w:autoSpaceDE w:val="0"/>
              <w:autoSpaceDN w:val="0"/>
              <w:adjustRightInd w:val="0"/>
              <w:jc w:val="both"/>
              <w:rPr>
                <w:rFonts w:eastAsia="Calibri"/>
                <w:iCs/>
              </w:rPr>
            </w:pPr>
            <w:r w:rsidRPr="00DE7630">
              <w:rPr>
                <w:rFonts w:eastAsia="Calibri"/>
                <w:iCs/>
              </w:rPr>
              <w:t>Цена за единицу работ в договоре, заключаемом по итогам Закупки, определяется путем произведения начальной (максимальной) цены каждой единицы работы, указанной в настоящей Документации, на коэффициент снижения участника, с которым заключается договор по итогам проведенной Закупки.</w:t>
            </w:r>
          </w:p>
          <w:p w:rsidR="00DE7630" w:rsidRPr="004A6E0F" w:rsidRDefault="00DE7630" w:rsidP="00DE7630">
            <w:pPr>
              <w:autoSpaceDE w:val="0"/>
              <w:autoSpaceDN w:val="0"/>
              <w:adjustRightInd w:val="0"/>
              <w:jc w:val="both"/>
              <w:rPr>
                <w:rFonts w:eastAsia="Calibri"/>
                <w:iCs/>
              </w:rPr>
            </w:pPr>
            <w:r w:rsidRPr="00DE7630">
              <w:rPr>
                <w:rFonts w:eastAsia="Calibri"/>
                <w:iCs/>
              </w:rPr>
              <w:t>Цена договора, заключаемого по итогам Закупки, определяется путем произведения начальной (максимальной) стоимости работ, указанной в настоящей Документации, на коэффициент снижения участника, с которым заключается договор по итогам проведенной Закупки.</w:t>
            </w:r>
          </w:p>
          <w:p w:rsidR="00DE7630" w:rsidRPr="00AA5094" w:rsidRDefault="00DE7630" w:rsidP="009F05CF">
            <w:pPr>
              <w:autoSpaceDE w:val="0"/>
              <w:autoSpaceDN w:val="0"/>
              <w:adjustRightInd w:val="0"/>
              <w:jc w:val="both"/>
              <w:rPr>
                <w:iCs/>
              </w:rPr>
            </w:pPr>
          </w:p>
          <w:p w:rsidR="009F05CF" w:rsidRPr="00AA5094" w:rsidRDefault="009F05CF" w:rsidP="009F05CF">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9F05CF" w:rsidP="009F05CF">
            <w:pPr>
              <w:autoSpaceDE w:val="0"/>
              <w:autoSpaceDN w:val="0"/>
              <w:adjustRightInd w:val="0"/>
              <w:jc w:val="both"/>
              <w:rPr>
                <w:iCs/>
              </w:rPr>
            </w:pPr>
            <w:r w:rsidRPr="00AA5094">
              <w:rPr>
                <w:iCs/>
              </w:rPr>
              <w:t xml:space="preserve">Цена за единицу </w:t>
            </w:r>
            <w:r>
              <w:rPr>
                <w:iCs/>
              </w:rPr>
              <w:t>работ</w:t>
            </w:r>
            <w:r w:rsidRPr="00AA5094">
              <w:rPr>
                <w:iCs/>
              </w:rPr>
              <w:t xml:space="preserve">, предложенная претендентом на участие в запросе предложений, не должна превышать предельную стоимость за единицу </w:t>
            </w:r>
            <w:r>
              <w:rPr>
                <w:iCs/>
              </w:rPr>
              <w:t>работ</w:t>
            </w:r>
            <w:r w:rsidRPr="00AA5094">
              <w:rPr>
                <w:iCs/>
              </w:rPr>
              <w:t xml:space="preserve">, указанную в </w:t>
            </w:r>
            <w:r>
              <w:t>Расчете стоимости за единицу работ</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w:t>
                  </w:r>
                  <w:r w:rsidR="0014229A" w:rsidRPr="007643B9">
                    <w:rPr>
                      <w:rFonts w:cs="Arial"/>
                      <w:color w:val="000000"/>
                    </w:rPr>
                    <w:lastRenderedPageBreak/>
                    <w:t>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F84878"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7727F3" w:rsidRDefault="00764E97" w:rsidP="005A6DC3">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4E0BF0"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4E0BF0" w:rsidRDefault="00764E97" w:rsidP="005A6DC3">
                  <w:pPr>
                    <w:ind w:right="34"/>
                    <w:jc w:val="both"/>
                    <w:rPr>
                      <w:rFonts w:eastAsiaTheme="minorHAnsi"/>
                      <w:color w:val="000000" w:themeColor="text1"/>
                      <w:lang w:eastAsia="en-US"/>
                    </w:rPr>
                  </w:pPr>
                </w:p>
                <w:p w:rsidR="00764E97" w:rsidRPr="004E0BF0" w:rsidRDefault="00764E97" w:rsidP="005A6DC3">
                  <w:pPr>
                    <w:ind w:right="34"/>
                    <w:jc w:val="both"/>
                    <w:rPr>
                      <w:rFonts w:eastAsiaTheme="minorHAnsi"/>
                      <w:b/>
                      <w:color w:val="000000" w:themeColor="text1"/>
                      <w:lang w:eastAsia="en-US"/>
                    </w:rPr>
                  </w:pPr>
                  <w:r w:rsidRPr="004E0BF0">
                    <w:rPr>
                      <w:rFonts w:eastAsiaTheme="minorHAnsi"/>
                      <w:color w:val="000000" w:themeColor="text1"/>
                      <w:lang w:eastAsia="en-US"/>
                    </w:rPr>
                    <w:t xml:space="preserve">2. В разделе </w:t>
                  </w:r>
                  <w:r w:rsidRPr="004E0BF0">
                    <w:rPr>
                      <w:rFonts w:eastAsiaTheme="minorHAnsi"/>
                      <w:color w:val="000000" w:themeColor="text1"/>
                      <w:lang w:val="en-US" w:eastAsia="en-US"/>
                    </w:rPr>
                    <w:t>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764E97" w:rsidRPr="004E0BF0" w:rsidRDefault="00764E97" w:rsidP="005A6DC3">
                  <w:pPr>
                    <w:ind w:right="34"/>
                    <w:jc w:val="both"/>
                    <w:rPr>
                      <w:rFonts w:cs="Arial"/>
                      <w:color w:val="000000" w:themeColor="text1"/>
                    </w:rPr>
                  </w:pPr>
                </w:p>
                <w:p w:rsidR="00764E97" w:rsidRPr="004E0BF0" w:rsidRDefault="00764E97" w:rsidP="005A6DC3">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764E97" w:rsidRPr="004E0BF0" w:rsidRDefault="00764E97" w:rsidP="005A6DC3">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764E97" w:rsidRPr="004E0BF0" w:rsidRDefault="00764E97" w:rsidP="005A6DC3">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764E97" w:rsidRPr="004E0BF0" w:rsidRDefault="00764E97" w:rsidP="005A6DC3">
                  <w:pPr>
                    <w:shd w:val="clear" w:color="auto" w:fill="FAFAFA"/>
                    <w:jc w:val="both"/>
                    <w:rPr>
                      <w:color w:val="000000" w:themeColor="text1"/>
                    </w:rPr>
                  </w:pPr>
                  <w:r w:rsidRPr="004E0BF0">
                    <w:rPr>
                      <w:color w:val="000000" w:themeColor="text1"/>
                    </w:rPr>
                    <w:t xml:space="preserve">5.6. Работы по подготовке </w:t>
                  </w:r>
                  <w:r w:rsidRPr="004E0BF0">
                    <w:rPr>
                      <w:color w:val="000000" w:themeColor="text1"/>
                    </w:rPr>
                    <w:lastRenderedPageBreak/>
                    <w:t>проектов наружных сетей слаботочных систем.</w:t>
                  </w:r>
                </w:p>
                <w:p w:rsidR="00764E97" w:rsidRPr="004E0BF0" w:rsidRDefault="00764E97" w:rsidP="005A6DC3">
                  <w:pPr>
                    <w:ind w:right="34"/>
                    <w:jc w:val="both"/>
                    <w:rPr>
                      <w:rFonts w:cs="Arial"/>
                      <w:color w:val="000000" w:themeColor="text1"/>
                    </w:rPr>
                  </w:pPr>
                </w:p>
                <w:p w:rsidR="00764E97" w:rsidRPr="004E0BF0" w:rsidRDefault="00764E97" w:rsidP="005A6DC3">
                  <w:pPr>
                    <w:ind w:right="34"/>
                    <w:jc w:val="both"/>
                    <w:rPr>
                      <w:rFonts w:cs="Arial"/>
                      <w:color w:val="000000" w:themeColor="text1"/>
                    </w:rPr>
                  </w:pPr>
                  <w:r w:rsidRPr="004E0BF0">
                    <w:rPr>
                      <w:rFonts w:eastAsiaTheme="minorHAnsi"/>
                      <w:color w:val="000000" w:themeColor="text1"/>
                      <w:lang w:eastAsia="en-US"/>
                    </w:rPr>
                    <w:t xml:space="preserve">3. В разделе </w:t>
                  </w:r>
                  <w:r w:rsidRPr="004E0BF0">
                    <w:rPr>
                      <w:rFonts w:eastAsiaTheme="minorHAnsi"/>
                      <w:color w:val="000000" w:themeColor="text1"/>
                      <w:lang w:val="en-US" w:eastAsia="en-US"/>
                    </w:rPr>
                    <w:t>III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764E97" w:rsidRPr="00764E97" w:rsidRDefault="00764E97" w:rsidP="00764E97">
                  <w:pPr>
                    <w:tabs>
                      <w:tab w:val="left" w:pos="1486"/>
                    </w:tabs>
                    <w:ind w:left="73" w:right="113"/>
                    <w:jc w:val="both"/>
                  </w:pPr>
                  <w:r w:rsidRPr="00764E97">
                    <w:t>17. Устройство наружных сетей канализации:</w:t>
                  </w:r>
                </w:p>
                <w:p w:rsidR="00764E97" w:rsidRPr="00764E97" w:rsidRDefault="00764E97" w:rsidP="00764E97">
                  <w:pPr>
                    <w:tabs>
                      <w:tab w:val="left" w:pos="1486"/>
                    </w:tabs>
                    <w:ind w:left="73" w:right="113" w:firstLine="287"/>
                    <w:jc w:val="both"/>
                  </w:pPr>
                  <w:r w:rsidRPr="00764E97">
                    <w:t>17.1. Укладка трубопроводов канализационных безнапорных.</w:t>
                  </w:r>
                </w:p>
                <w:p w:rsidR="00764E97" w:rsidRPr="00764E97" w:rsidRDefault="00764E97" w:rsidP="00764E97">
                  <w:pPr>
                    <w:tabs>
                      <w:tab w:val="left" w:pos="1486"/>
                    </w:tabs>
                    <w:ind w:left="73" w:right="113"/>
                    <w:jc w:val="both"/>
                  </w:pPr>
                  <w:r w:rsidRPr="00764E97">
                    <w:t xml:space="preserve">20. Устройство наружных электрических сетей и линий связи (п.20 в ред. Приказа Минрегиона РФ от 23.06.2010 </w:t>
                  </w:r>
                  <w:r w:rsidRPr="00764E97">
                    <w:rPr>
                      <w:lang w:val="en-US"/>
                    </w:rPr>
                    <w:t>N</w:t>
                  </w:r>
                  <w:r w:rsidRPr="00764E97">
                    <w:t xml:space="preserve"> 294):</w:t>
                  </w:r>
                </w:p>
                <w:p w:rsidR="00764E97" w:rsidRPr="00764E97" w:rsidRDefault="00764E97" w:rsidP="00764E97">
                  <w:pPr>
                    <w:tabs>
                      <w:tab w:val="left" w:pos="1486"/>
                    </w:tabs>
                    <w:ind w:left="73" w:right="113" w:firstLine="287"/>
                    <w:jc w:val="both"/>
                  </w:pPr>
                  <w:r w:rsidRPr="00764E97">
                    <w:t>20.5. Монтаж и демонтаж опор для воздушных линий электропередачи напряжением до 35 кВ;</w:t>
                  </w:r>
                </w:p>
                <w:p w:rsidR="00764E97" w:rsidRPr="00764E97" w:rsidRDefault="00764E97" w:rsidP="00764E97">
                  <w:pPr>
                    <w:tabs>
                      <w:tab w:val="left" w:pos="1486"/>
                    </w:tabs>
                    <w:ind w:left="73" w:right="113" w:firstLine="287"/>
                    <w:jc w:val="both"/>
                  </w:pPr>
                  <w:r w:rsidRPr="00764E97">
                    <w:t>20.8. Монтаж и демонтаж проводов и грозозащитных тросов воздушных линий электропередачи напряжением до 35 кВ включительно;</w:t>
                  </w:r>
                </w:p>
                <w:p w:rsidR="00764E97" w:rsidRPr="00764E97" w:rsidRDefault="00764E97" w:rsidP="00764E97">
                  <w:pPr>
                    <w:tabs>
                      <w:tab w:val="left" w:pos="1486"/>
                    </w:tabs>
                    <w:ind w:left="73" w:right="113" w:firstLine="287"/>
                    <w:jc w:val="both"/>
                  </w:pPr>
                  <w:r w:rsidRPr="00764E97">
                    <w:t xml:space="preserve">20.12. Установка распределительных устройств, коммутационной аппаратуры, устройств защиты. </w:t>
                  </w:r>
                </w:p>
                <w:p w:rsidR="00764E97" w:rsidRPr="00764E97" w:rsidRDefault="00764E97" w:rsidP="00764E97">
                  <w:pPr>
                    <w:tabs>
                      <w:tab w:val="left" w:pos="1486"/>
                    </w:tabs>
                    <w:ind w:left="73" w:right="113" w:firstLine="3"/>
                    <w:jc w:val="both"/>
                  </w:pPr>
                  <w:r w:rsidRPr="00764E97">
                    <w:t>22. Устройство объектов нефтяной и газовой промышленности:</w:t>
                  </w:r>
                </w:p>
                <w:p w:rsidR="00764E97" w:rsidRPr="00764E97" w:rsidRDefault="00764E97" w:rsidP="00764E97">
                  <w:pPr>
                    <w:tabs>
                      <w:tab w:val="left" w:pos="1486"/>
                    </w:tabs>
                    <w:ind w:left="73" w:right="113" w:firstLine="287"/>
                    <w:jc w:val="both"/>
                  </w:pPr>
                  <w:r w:rsidRPr="00764E97">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764E97" w:rsidRPr="00764E97" w:rsidRDefault="00764E97" w:rsidP="00764E97">
                  <w:pPr>
                    <w:pStyle w:val="ConsPlusNormal"/>
                    <w:ind w:firstLine="360"/>
                    <w:jc w:val="both"/>
                    <w:rPr>
                      <w:rFonts w:ascii="Times New Roman" w:hAnsi="Times New Roman" w:cs="Times New Roman"/>
                      <w:sz w:val="24"/>
                      <w:szCs w:val="24"/>
                    </w:rPr>
                  </w:pPr>
                  <w:r w:rsidRPr="00764E97">
                    <w:rPr>
                      <w:rFonts w:ascii="Times New Roman" w:hAnsi="Times New Roman" w:cs="Times New Roman"/>
                      <w:sz w:val="24"/>
                      <w:szCs w:val="24"/>
                    </w:rPr>
                    <w:t>22.5. Работы по строительству переходов методом наклонно-направленного бурения.</w:t>
                  </w:r>
                </w:p>
                <w:p w:rsidR="00764E97" w:rsidRPr="00764E97" w:rsidRDefault="00764E97" w:rsidP="00764E97">
                  <w:pPr>
                    <w:pStyle w:val="ConsPlusNormal"/>
                    <w:jc w:val="both"/>
                    <w:rPr>
                      <w:rFonts w:ascii="Times New Roman" w:hAnsi="Times New Roman" w:cs="Times New Roman"/>
                      <w:sz w:val="24"/>
                      <w:szCs w:val="24"/>
                    </w:rPr>
                  </w:pPr>
                  <w:r w:rsidRPr="00764E97">
                    <w:rPr>
                      <w:rFonts w:ascii="Times New Roman" w:hAnsi="Times New Roman" w:cs="Times New Roman"/>
                      <w:sz w:val="24"/>
                      <w:szCs w:val="24"/>
                    </w:rPr>
                    <w:t>24. Пусконаладочные работы:</w:t>
                  </w:r>
                </w:p>
                <w:p w:rsidR="00764E97" w:rsidRPr="00764E97" w:rsidRDefault="00764E97" w:rsidP="00764E97">
                  <w:pPr>
                    <w:autoSpaceDE w:val="0"/>
                    <w:autoSpaceDN w:val="0"/>
                    <w:ind w:hanging="72"/>
                    <w:jc w:val="both"/>
                    <w:rPr>
                      <w:color w:val="000000" w:themeColor="text1"/>
                    </w:rPr>
                  </w:pPr>
                  <w:r w:rsidRPr="00764E97">
                    <w:t>24.5. Пусконаладочные работы коммутационных аппаратов.</w:t>
                  </w:r>
                </w:p>
                <w:p w:rsidR="00764E97" w:rsidRPr="004E0BF0" w:rsidRDefault="00764E97" w:rsidP="005A6DC3">
                  <w:pPr>
                    <w:ind w:right="34"/>
                    <w:jc w:val="both"/>
                    <w:rPr>
                      <w:rFonts w:cs="Arial"/>
                      <w:color w:val="000000" w:themeColor="text1"/>
                    </w:rPr>
                  </w:pPr>
                </w:p>
                <w:p w:rsidR="00764E97" w:rsidRPr="004E0BF0" w:rsidRDefault="00764E97" w:rsidP="005A6DC3">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764E97" w:rsidRPr="004E0BF0" w:rsidRDefault="00764E97" w:rsidP="005A6DC3">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w:t>
                  </w:r>
                  <w:r w:rsidRPr="004E0BF0">
                    <w:rPr>
                      <w:rFonts w:cs="Arial"/>
                      <w:color w:val="000000" w:themeColor="text1"/>
                    </w:rPr>
                    <w:lastRenderedPageBreak/>
                    <w:t xml:space="preserve">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 проектной документации:</w:t>
                  </w:r>
                </w:p>
                <w:p w:rsidR="00764E97" w:rsidRPr="004E0BF0" w:rsidRDefault="00764E97" w:rsidP="005A6DC3">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764E97" w:rsidRPr="004E0BF0" w:rsidRDefault="00764E97" w:rsidP="005A6DC3">
                  <w:pPr>
                    <w:autoSpaceDE w:val="0"/>
                    <w:autoSpaceDN w:val="0"/>
                    <w:adjustRightInd w:val="0"/>
                    <w:ind w:firstLine="540"/>
                    <w:jc w:val="both"/>
                    <w:outlineLvl w:val="0"/>
                    <w:rPr>
                      <w:rFonts w:eastAsiaTheme="minorHAnsi"/>
                      <w:color w:val="000000" w:themeColor="text1"/>
                      <w:lang w:eastAsia="en-US"/>
                    </w:rPr>
                  </w:pPr>
                </w:p>
                <w:p w:rsidR="00764E97" w:rsidRPr="004E0BF0" w:rsidRDefault="00764E97" w:rsidP="005A6DC3">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64E97" w:rsidRPr="007727F3" w:rsidRDefault="00764E97" w:rsidP="005A6DC3">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7727F3" w:rsidRDefault="00764E97" w:rsidP="005A6DC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w:t>
                  </w:r>
                  <w:bookmarkStart w:id="17" w:name="_GoBack"/>
                  <w:bookmarkEnd w:id="17"/>
                  <w:r w:rsidRPr="00561F9A">
                    <w:rPr>
                      <w:rFonts w:cs="Arial"/>
                      <w:color w:val="000000"/>
                    </w:rPr>
                    <w:t>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5A6DC3" w:rsidTr="00A27D60">
              <w:tc>
                <w:tcPr>
                  <w:tcW w:w="2722" w:type="dxa"/>
                  <w:shd w:val="clear" w:color="auto" w:fill="auto"/>
                </w:tcPr>
                <w:p w:rsidR="005A6DC3" w:rsidRPr="00782A7C" w:rsidRDefault="005A6DC3" w:rsidP="005A6DC3">
                  <w:pPr>
                    <w:pStyle w:val="a4"/>
                    <w:ind w:left="0"/>
                    <w:rPr>
                      <w:rFonts w:cs="Arial"/>
                      <w:color w:val="000000"/>
                    </w:rPr>
                  </w:pPr>
                  <w:r w:rsidRPr="00782A7C">
                    <w:t>Величина основного коэффициента снижения цены</w:t>
                  </w:r>
                </w:p>
                <w:p w:rsidR="005A6DC3" w:rsidRPr="00782A7C" w:rsidRDefault="005A6DC3" w:rsidP="005A6DC3">
                  <w:pPr>
                    <w:pStyle w:val="a4"/>
                    <w:ind w:left="0"/>
                    <w:rPr>
                      <w:rFonts w:cs="Arial"/>
                      <w:color w:val="000000"/>
                    </w:rPr>
                  </w:pPr>
                </w:p>
                <w:p w:rsidR="005A6DC3" w:rsidRPr="00782A7C" w:rsidRDefault="005A6DC3" w:rsidP="005A6DC3">
                  <w:pPr>
                    <w:pStyle w:val="a4"/>
                    <w:ind w:left="0"/>
                    <w:rPr>
                      <w:rFonts w:cs="Arial"/>
                      <w:color w:val="000000"/>
                    </w:rPr>
                  </w:pPr>
                </w:p>
                <w:p w:rsidR="005A6DC3" w:rsidRPr="00782A7C" w:rsidRDefault="005A6DC3" w:rsidP="005A6DC3">
                  <w:pPr>
                    <w:pStyle w:val="a4"/>
                    <w:ind w:left="0"/>
                    <w:rPr>
                      <w:rFonts w:cs="Arial"/>
                      <w:color w:val="000000"/>
                    </w:rPr>
                  </w:pPr>
                </w:p>
              </w:tc>
              <w:tc>
                <w:tcPr>
                  <w:tcW w:w="1417" w:type="dxa"/>
                  <w:shd w:val="clear" w:color="auto" w:fill="auto"/>
                </w:tcPr>
                <w:p w:rsidR="005A6DC3" w:rsidRPr="00782A7C" w:rsidRDefault="005A6DC3" w:rsidP="005A6DC3">
                  <w:pPr>
                    <w:pStyle w:val="a4"/>
                    <w:ind w:left="0"/>
                    <w:rPr>
                      <w:rFonts w:cs="Arial"/>
                      <w:color w:val="000000"/>
                    </w:rPr>
                  </w:pPr>
                  <w:r w:rsidRPr="00782A7C">
                    <w:rPr>
                      <w:rFonts w:cs="Arial"/>
                      <w:color w:val="000000"/>
                    </w:rPr>
                    <w:t>9</w:t>
                  </w:r>
                  <w:r>
                    <w:rPr>
                      <w:rFonts w:cs="Arial"/>
                      <w:color w:val="000000"/>
                    </w:rPr>
                    <w:t>7</w:t>
                  </w:r>
                  <w:r w:rsidRPr="00782A7C">
                    <w:rPr>
                      <w:rFonts w:cs="Arial"/>
                      <w:color w:val="000000"/>
                    </w:rPr>
                    <w:t>%</w:t>
                  </w:r>
                </w:p>
              </w:tc>
              <w:tc>
                <w:tcPr>
                  <w:tcW w:w="3402" w:type="dxa"/>
                  <w:shd w:val="clear" w:color="auto" w:fill="auto"/>
                </w:tcPr>
                <w:p w:rsidR="005A6DC3" w:rsidRPr="00782A7C" w:rsidRDefault="005A6DC3" w:rsidP="00963B5A">
                  <w:pPr>
                    <w:pStyle w:val="a4"/>
                    <w:ind w:left="0"/>
                    <w:rPr>
                      <w:rFonts w:cs="Arial"/>
                    </w:rPr>
                  </w:pPr>
                  <w:r w:rsidRPr="00782A7C">
                    <w:t xml:space="preserve">Размер основного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w:t>
                  </w:r>
                  <w:r w:rsidRPr="00782A7C">
                    <w:rPr>
                      <w:rFonts w:cs="Arial"/>
                    </w:rPr>
                    <w:t>к снижению цены договора и цены  соответствующей единицы товара (работы, услуги),</w:t>
                  </w:r>
                  <w:r w:rsidRPr="00782A7C">
                    <w:rPr>
                      <w:rFonts w:cs="Arial"/>
                      <w:color w:val="0070C0"/>
                    </w:rPr>
                    <w:t xml:space="preserve">указанных в </w:t>
                  </w:r>
                  <w:r w:rsidRPr="00782A7C">
                    <w:rPr>
                      <w:rFonts w:cs="Arial"/>
                    </w:rPr>
                    <w:t xml:space="preserve"> </w:t>
                  </w:r>
                  <w:r w:rsidRPr="00782A7C">
                    <w:rPr>
                      <w:color w:val="0070C0"/>
                    </w:rPr>
                    <w:t>Приложении</w:t>
                  </w:r>
                  <w:r w:rsidRPr="00782A7C">
                    <w:t xml:space="preserve"> №</w:t>
                  </w:r>
                  <w:r w:rsidR="00963B5A">
                    <w:t>1.1</w:t>
                  </w:r>
                  <w:r w:rsidRPr="00782A7C">
                    <w:t xml:space="preserve"> к </w:t>
                  </w:r>
                  <w:r w:rsidR="00963B5A">
                    <w:t xml:space="preserve">Документации. </w:t>
                  </w:r>
                </w:p>
              </w:tc>
            </w:tr>
            <w:tr w:rsidR="00DD7F60" w:rsidTr="00EC79E6">
              <w:trPr>
                <w:trHeight w:val="1375"/>
              </w:trPr>
              <w:tc>
                <w:tcPr>
                  <w:tcW w:w="2722" w:type="dxa"/>
                  <w:shd w:val="clear" w:color="auto" w:fill="auto"/>
                </w:tcPr>
                <w:p w:rsidR="00DD7F60" w:rsidRPr="00F2050A" w:rsidRDefault="00DD7F60" w:rsidP="005A6DC3">
                  <w:pPr>
                    <w:spacing w:after="200" w:line="276" w:lineRule="auto"/>
                  </w:pPr>
                  <w:r w:rsidRPr="00F2050A">
                    <w:lastRenderedPageBreak/>
                    <w:t>Сроки оплаты по договору</w:t>
                  </w:r>
                </w:p>
              </w:tc>
              <w:tc>
                <w:tcPr>
                  <w:tcW w:w="1417" w:type="dxa"/>
                  <w:shd w:val="clear" w:color="auto" w:fill="auto"/>
                </w:tcPr>
                <w:p w:rsidR="00DD7F60" w:rsidRPr="00F2050A" w:rsidRDefault="00E32EFF" w:rsidP="005A6DC3">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 xml:space="preserve">Претендент вправе самостоятельно включить в состав Заявки структуру предлагаемой цены Договора и обоснование цены Договора </w:t>
            </w:r>
            <w:r w:rsidRPr="00D230A5">
              <w:lastRenderedPageBreak/>
              <w:t>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F05CF" w:rsidRPr="00972152" w:rsidRDefault="009F05CF" w:rsidP="009F05CF">
            <w:pPr>
              <w:autoSpaceDE w:val="0"/>
              <w:autoSpaceDN w:val="0"/>
              <w:adjustRightInd w:val="0"/>
              <w:jc w:val="both"/>
            </w:pPr>
            <w:r w:rsidRPr="00972152">
              <w:rPr>
                <w:rFonts w:eastAsia="Calibri"/>
                <w:iCs/>
                <w:color w:val="000000"/>
              </w:rPr>
              <w:t xml:space="preserve">Место </w:t>
            </w:r>
            <w:r>
              <w:rPr>
                <w:rFonts w:eastAsia="Calibri"/>
                <w:iCs/>
                <w:color w:val="000000"/>
              </w:rPr>
              <w:t>выполнения работ</w:t>
            </w:r>
            <w:r w:rsidRPr="00972152">
              <w:rPr>
                <w:rFonts w:eastAsia="Calibri"/>
                <w:iCs/>
                <w:color w:val="000000"/>
              </w:rPr>
              <w:t>:</w:t>
            </w:r>
            <w:r>
              <w:rPr>
                <w:rFonts w:eastAsia="Calibri"/>
                <w:iCs/>
                <w:color w:val="000000"/>
              </w:rPr>
              <w:t xml:space="preserve"> </w:t>
            </w:r>
            <w:r>
              <w:t>Республика Башкортостан</w:t>
            </w:r>
            <w:r w:rsidRPr="00F04218">
              <w:t>.</w:t>
            </w:r>
          </w:p>
          <w:p w:rsidR="009F05CF" w:rsidRPr="00972152" w:rsidRDefault="009F05CF" w:rsidP="009F05CF">
            <w:pPr>
              <w:autoSpaceDE w:val="0"/>
              <w:autoSpaceDN w:val="0"/>
              <w:adjustRightInd w:val="0"/>
              <w:jc w:val="both"/>
            </w:pPr>
            <w:r w:rsidRPr="00972152">
              <w:t xml:space="preserve">Условия </w:t>
            </w:r>
            <w:r>
              <w:rPr>
                <w:rFonts w:eastAsia="Calibri"/>
                <w:iCs/>
                <w:color w:val="000000"/>
              </w:rPr>
              <w:t>выполнения работ</w:t>
            </w:r>
            <w:r w:rsidRPr="00972152">
              <w:t xml:space="preserve"> определены в Приложениях №№ </w:t>
            </w:r>
            <w:r>
              <w:t>1.1, 1.2,</w:t>
            </w:r>
            <w:r w:rsidRPr="00972152">
              <w:t xml:space="preserve"> 2 </w:t>
            </w:r>
            <w:r w:rsidRPr="00FC20A7">
              <w:t>к Документации о закупке</w:t>
            </w:r>
            <w:r w:rsidRPr="00972152">
              <w:t>.</w:t>
            </w:r>
          </w:p>
          <w:p w:rsidR="0014229A" w:rsidRPr="00F84878" w:rsidRDefault="009F05CF" w:rsidP="009F05CF">
            <w:pPr>
              <w:pStyle w:val="Default"/>
              <w:jc w:val="both"/>
            </w:pPr>
            <w:r w:rsidRPr="00972152">
              <w:rPr>
                <w:rFonts w:eastAsia="Times New Roman"/>
                <w:lang w:eastAsia="ru-RU"/>
              </w:rPr>
              <w:t xml:space="preserve">Срок </w:t>
            </w:r>
            <w:r>
              <w:rPr>
                <w:iCs/>
              </w:rPr>
              <w:t>выполнения работ</w:t>
            </w:r>
            <w:r w:rsidRPr="00972152">
              <w:rPr>
                <w:rFonts w:eastAsia="Times New Roman"/>
                <w:lang w:eastAsia="ru-RU"/>
              </w:rPr>
              <w:t xml:space="preserve">: </w:t>
            </w:r>
            <w:r>
              <w:rPr>
                <w:rFonts w:eastAsia="Times New Roman"/>
                <w:lang w:eastAsia="ru-RU"/>
              </w:rPr>
              <w:t>с момента подписания договора по 31.12.2016г.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4E97" w:rsidRDefault="00764E97" w:rsidP="00764E97">
            <w:pPr>
              <w:jc w:val="both"/>
            </w:pPr>
            <w:r>
              <w:t>Требуется обеспечение.</w:t>
            </w:r>
          </w:p>
          <w:p w:rsidR="00764E97" w:rsidRDefault="00764E97" w:rsidP="00764E97">
            <w:pPr>
              <w:jc w:val="both"/>
            </w:pPr>
            <w:r>
              <w:t>Размер обеспечения: 500 000,00 (Пятьсот  тысяч) рублей 00 копеек (НДС не облагается).</w:t>
            </w:r>
          </w:p>
          <w:p w:rsidR="00764E97" w:rsidRDefault="00764E97" w:rsidP="00764E97">
            <w:pPr>
              <w:jc w:val="both"/>
            </w:pPr>
            <w:r>
              <w:t>Форма обеспечения: денежные средства.</w:t>
            </w:r>
          </w:p>
          <w:p w:rsidR="00764E97" w:rsidRDefault="00764E97" w:rsidP="00764E97">
            <w:pPr>
              <w:jc w:val="both"/>
            </w:pPr>
            <w:r>
              <w:t>Валюта обеспечения: Российский рубль.</w:t>
            </w:r>
          </w:p>
          <w:p w:rsidR="00764E97" w:rsidRDefault="00764E97" w:rsidP="00764E97">
            <w:pPr>
              <w:jc w:val="both"/>
            </w:pPr>
            <w:r>
              <w:t>Денежные средства в обеспечение Заявки вносятся в соответствии с Регламентом работы ЭТП.</w:t>
            </w:r>
          </w:p>
          <w:p w:rsidR="00764E97" w:rsidRDefault="00764E97" w:rsidP="00764E97">
            <w:pPr>
              <w:jc w:val="both"/>
            </w:pPr>
            <w:r>
              <w:t>Обеспечение заявок не возвращается в случаях:</w:t>
            </w:r>
          </w:p>
          <w:p w:rsidR="00764E97" w:rsidRDefault="00764E97"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764E97"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963B5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w:t>
            </w:r>
            <w:r w:rsidRPr="00B03159">
              <w:lastRenderedPageBreak/>
              <w:t xml:space="preserve">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63B5A">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по форме Приложения</w:t>
            </w:r>
            <w:r w:rsidR="00A02B2E" w:rsidRPr="00A02B2E">
              <w:t xml:space="preserve"> №</w:t>
            </w:r>
            <w:r w:rsidR="00314D52">
              <w:t>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963B5A">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963B5A">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963B5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963B5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963B5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E32EFF" w:rsidP="00DF5A81">
            <w:pPr>
              <w:ind w:firstLine="528"/>
              <w:jc w:val="both"/>
              <w:rPr>
                <w:lang w:eastAsia="en-US"/>
              </w:rPr>
            </w:pPr>
            <w:r w:rsidRPr="000D696F">
              <w:rPr>
                <w:color w:val="000000"/>
              </w:rPr>
              <w:t>П. 3.</w:t>
            </w:r>
            <w:r w:rsidR="000D696F" w:rsidRPr="000D696F">
              <w:rPr>
                <w:color w:val="000000"/>
              </w:rPr>
              <w:t>2</w:t>
            </w:r>
            <w:r w:rsidRPr="000D696F">
              <w:rPr>
                <w:color w:val="000000"/>
              </w:rPr>
              <w:t xml:space="preserve"> проекта договора (Приложение №2 </w:t>
            </w:r>
            <w:r w:rsidR="00634F92" w:rsidRPr="000D696F">
              <w:t>к настоящей Документации о закупке</w:t>
            </w:r>
            <w:r w:rsidRPr="000D696F">
              <w:rPr>
                <w:color w:val="000000"/>
              </w:rPr>
              <w:t xml:space="preserve">): </w:t>
            </w:r>
          </w:p>
          <w:p w:rsidR="00F34D70" w:rsidRPr="000D696F" w:rsidRDefault="000D696F" w:rsidP="00826D6C">
            <w:pPr>
              <w:ind w:firstLine="528"/>
              <w:jc w:val="both"/>
            </w:pPr>
            <w:r w:rsidRPr="000D696F">
              <w:t xml:space="preserve">Оплата выполненных Исполнителем работ производится Заказчиком по факту выполнения работ, в течение </w:t>
            </w:r>
            <w:r w:rsidR="00826D6C">
              <w:t>3</w:t>
            </w:r>
            <w:r w:rsidRPr="000D696F">
              <w:t>0 (</w:t>
            </w:r>
            <w:r w:rsidR="00826D6C">
              <w:t>тридцати</w:t>
            </w:r>
            <w:r w:rsidRPr="000D696F">
              <w:t xml:space="preserve">) календарных дней с момента подписания акта приемки выполненных работ (форма КС-2), </w:t>
            </w:r>
            <w:r w:rsidRPr="000D696F">
              <w:rPr>
                <w:color w:val="000000"/>
              </w:rPr>
              <w:t>справки о стоимости выполненных работ (Форма КС-3).</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Расчет стоимости за единицу работ</w:t>
      </w:r>
      <w:r w:rsidR="00764E97" w:rsidRPr="00972152">
        <w:t xml:space="preserve"> (Приложени</w:t>
      </w:r>
      <w:r w:rsidR="00764E97">
        <w:t>е</w:t>
      </w:r>
      <w:r w:rsidR="00764E97" w:rsidRPr="00972152">
        <w:t xml:space="preserve"> </w:t>
      </w:r>
      <w:r w:rsidR="00764E97">
        <w:t>№</w:t>
      </w:r>
      <w:r w:rsidR="00764E97" w:rsidRPr="00972152">
        <w:t>1</w:t>
      </w:r>
      <w:r w:rsidR="00764E97">
        <w:t xml:space="preserve">.1 </w:t>
      </w:r>
      <w:r w:rsidR="00764E97" w:rsidRPr="00972152">
        <w:t xml:space="preserve">к </w:t>
      </w:r>
      <w:r w:rsidR="00764E97" w:rsidRPr="00FC20A7">
        <w:t>Документации о закупке</w:t>
      </w:r>
      <w:r w:rsidR="00764E97" w:rsidRPr="00972152">
        <w:t>)</w:t>
      </w:r>
      <w:r w:rsidR="00764E97">
        <w:t>, Техническое  задание</w:t>
      </w:r>
      <w:r w:rsidR="00764E97" w:rsidRPr="00972152">
        <w:t xml:space="preserve"> (Приложение №</w:t>
      </w:r>
      <w:r w:rsidR="00764E97">
        <w:t>1.2</w:t>
      </w:r>
      <w:r w:rsidR="00764E97" w:rsidRPr="00972152">
        <w:t xml:space="preserve"> </w:t>
      </w:r>
      <w:r w:rsidR="00764E97" w:rsidRPr="00FC20A7">
        <w:t>к Документации о закупке</w:t>
      </w:r>
      <w:r w:rsidR="00764E97" w:rsidRPr="00972152">
        <w:t>)</w:t>
      </w:r>
      <w:r w:rsidR="00764E97">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8EF" w:rsidRDefault="008C08EF" w:rsidP="0014229A">
      <w:r>
        <w:separator/>
      </w:r>
    </w:p>
  </w:endnote>
  <w:endnote w:type="continuationSeparator" w:id="0">
    <w:p w:rsidR="008C08EF" w:rsidRDefault="008C08E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8EF" w:rsidRDefault="008C08EF" w:rsidP="0014229A">
      <w:r>
        <w:separator/>
      </w:r>
    </w:p>
  </w:footnote>
  <w:footnote w:type="continuationSeparator" w:id="0">
    <w:p w:rsidR="008C08EF" w:rsidRDefault="008C08E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DC3" w:rsidRDefault="005A6DC3">
    <w:pPr>
      <w:pStyle w:val="a6"/>
      <w:jc w:val="center"/>
    </w:pPr>
    <w:r>
      <w:fldChar w:fldCharType="begin"/>
    </w:r>
    <w:r>
      <w:instrText>PAGE   \* MERGEFORMAT</w:instrText>
    </w:r>
    <w:r>
      <w:fldChar w:fldCharType="separate"/>
    </w:r>
    <w:r w:rsidR="00963B5A">
      <w:rPr>
        <w:noProof/>
      </w:rPr>
      <w:t>1</w:t>
    </w:r>
    <w:r>
      <w:fldChar w:fldCharType="end"/>
    </w:r>
  </w:p>
  <w:p w:rsidR="005A6DC3" w:rsidRDefault="005A6D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D696F"/>
    <w:rsid w:val="000F4823"/>
    <w:rsid w:val="000F7BA5"/>
    <w:rsid w:val="0014229A"/>
    <w:rsid w:val="00155152"/>
    <w:rsid w:val="001B4383"/>
    <w:rsid w:val="001D7DA3"/>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A6DC3"/>
    <w:rsid w:val="005B0AB9"/>
    <w:rsid w:val="005C6DCB"/>
    <w:rsid w:val="005E779F"/>
    <w:rsid w:val="006023C7"/>
    <w:rsid w:val="00634F92"/>
    <w:rsid w:val="006351F8"/>
    <w:rsid w:val="00660B32"/>
    <w:rsid w:val="00712F06"/>
    <w:rsid w:val="00761639"/>
    <w:rsid w:val="00764E97"/>
    <w:rsid w:val="007816DF"/>
    <w:rsid w:val="00797098"/>
    <w:rsid w:val="007C17D3"/>
    <w:rsid w:val="007C6F21"/>
    <w:rsid w:val="007E34B5"/>
    <w:rsid w:val="00804945"/>
    <w:rsid w:val="008239AB"/>
    <w:rsid w:val="00826D6C"/>
    <w:rsid w:val="0083262D"/>
    <w:rsid w:val="00841B29"/>
    <w:rsid w:val="00846365"/>
    <w:rsid w:val="00855472"/>
    <w:rsid w:val="00892DC0"/>
    <w:rsid w:val="008A40EB"/>
    <w:rsid w:val="008A43E3"/>
    <w:rsid w:val="008C08EF"/>
    <w:rsid w:val="008C6A98"/>
    <w:rsid w:val="008D0F33"/>
    <w:rsid w:val="008F2EB6"/>
    <w:rsid w:val="00945B7A"/>
    <w:rsid w:val="00963B5A"/>
    <w:rsid w:val="009A662F"/>
    <w:rsid w:val="009F05C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DE7630"/>
    <w:rsid w:val="00DF5A81"/>
    <w:rsid w:val="00E25078"/>
    <w:rsid w:val="00E32EFF"/>
    <w:rsid w:val="00E74D2C"/>
    <w:rsid w:val="00E9498C"/>
    <w:rsid w:val="00EA1830"/>
    <w:rsid w:val="00EB346C"/>
    <w:rsid w:val="00EC2308"/>
    <w:rsid w:val="00EC79E6"/>
    <w:rsid w:val="00ED7BA7"/>
    <w:rsid w:val="00EF33D2"/>
    <w:rsid w:val="00F11C24"/>
    <w:rsid w:val="00F135C3"/>
    <w:rsid w:val="00F13CAC"/>
    <w:rsid w:val="00F17D4A"/>
    <w:rsid w:val="00F34D70"/>
    <w:rsid w:val="00F4064D"/>
    <w:rsid w:val="00F51EAF"/>
    <w:rsid w:val="00F57712"/>
    <w:rsid w:val="00F65720"/>
    <w:rsid w:val="00F71B15"/>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ismagilov2@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05BDF-CD4D-40BF-9CDA-2637F909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24</Pages>
  <Words>8963</Words>
  <Characters>51094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42</cp:revision>
  <cp:lastPrinted>2016-02-09T11:15:00Z</cp:lastPrinted>
  <dcterms:created xsi:type="dcterms:W3CDTF">2015-10-07T04:10:00Z</dcterms:created>
  <dcterms:modified xsi:type="dcterms:W3CDTF">2016-02-09T11:15:00Z</dcterms:modified>
</cp:coreProperties>
</file>