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883495" w:rsidRDefault="00562366" w:rsidP="00E15BE5">
            <w:pPr>
              <w:pStyle w:val="afe"/>
              <w:tabs>
                <w:tab w:val="clear" w:pos="1980"/>
              </w:tabs>
              <w:ind w:left="0" w:firstLine="0"/>
              <w:jc w:val="center"/>
              <w:rPr>
                <w:b/>
                <w:bCs/>
                <w:szCs w:val="24"/>
              </w:rPr>
            </w:pPr>
            <w:r w:rsidRPr="00883495">
              <w:rPr>
                <w:b/>
                <w:bCs/>
                <w:szCs w:val="24"/>
              </w:rPr>
              <w:t xml:space="preserve">Критерии оценки </w:t>
            </w:r>
            <w:r w:rsidRPr="00883495">
              <w:rPr>
                <w:b/>
                <w:bCs/>
                <w:szCs w:val="24"/>
              </w:rPr>
              <w:br/>
              <w:t xml:space="preserve">заявок на участие в </w:t>
            </w:r>
            <w:r w:rsidR="006F4D6D" w:rsidRPr="00883495">
              <w:rPr>
                <w:b/>
                <w:szCs w:val="24"/>
              </w:rPr>
              <w:t xml:space="preserve">запросе предложений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883495" w:rsidRPr="00A4788C" w:rsidTr="0023130A">
        <w:trPr>
          <w:trHeight w:val="70"/>
        </w:trPr>
        <w:tc>
          <w:tcPr>
            <w:tcW w:w="1418" w:type="dxa"/>
            <w:tcBorders>
              <w:top w:val="single" w:sz="4" w:space="0" w:color="auto"/>
              <w:left w:val="single" w:sz="4" w:space="0" w:color="auto"/>
              <w:right w:val="single" w:sz="4" w:space="0" w:color="auto"/>
            </w:tcBorders>
          </w:tcPr>
          <w:p w:rsidR="00883495" w:rsidRPr="00A4788C" w:rsidRDefault="00883495" w:rsidP="006A7C5D">
            <w:pPr>
              <w:pStyle w:val="afe"/>
              <w:tabs>
                <w:tab w:val="clear" w:pos="1980"/>
              </w:tabs>
              <w:ind w:left="0" w:firstLine="0"/>
              <w:jc w:val="center"/>
              <w:rPr>
                <w:szCs w:val="24"/>
              </w:rPr>
            </w:pPr>
            <w:r>
              <w:rPr>
                <w:szCs w:val="24"/>
              </w:rPr>
              <w:t>1.</w:t>
            </w:r>
          </w:p>
        </w:tc>
        <w:tc>
          <w:tcPr>
            <w:tcW w:w="6379" w:type="dxa"/>
            <w:tcBorders>
              <w:top w:val="single" w:sz="4" w:space="0" w:color="auto"/>
              <w:left w:val="single" w:sz="4" w:space="0" w:color="auto"/>
              <w:right w:val="single" w:sz="4" w:space="0" w:color="auto"/>
            </w:tcBorders>
          </w:tcPr>
          <w:p w:rsidR="00883495" w:rsidRPr="00883495" w:rsidRDefault="00883495" w:rsidP="001D11FF">
            <w:pPr>
              <w:pStyle w:val="afffff2"/>
              <w:ind w:left="0"/>
              <w:rPr>
                <w:rFonts w:ascii="Times New Roman" w:hAnsi="Times New Roman"/>
                <w:color w:val="000000"/>
                <w:sz w:val="24"/>
                <w:szCs w:val="24"/>
                <w:highlight w:val="yellow"/>
              </w:rPr>
            </w:pPr>
            <w:r w:rsidRPr="00883495">
              <w:rPr>
                <w:rFonts w:ascii="Times New Roman" w:hAnsi="Times New Roman"/>
                <w:b/>
                <w:sz w:val="24"/>
                <w:szCs w:val="24"/>
              </w:rPr>
              <w:t>Стоимость подключения к услугам одного абонента:</w:t>
            </w:r>
          </w:p>
        </w:tc>
        <w:tc>
          <w:tcPr>
            <w:tcW w:w="1842" w:type="dxa"/>
            <w:tcBorders>
              <w:top w:val="single" w:sz="4" w:space="0" w:color="auto"/>
              <w:left w:val="single" w:sz="4" w:space="0" w:color="auto"/>
              <w:right w:val="single" w:sz="4" w:space="0" w:color="auto"/>
            </w:tcBorders>
          </w:tcPr>
          <w:p w:rsidR="00883495" w:rsidRPr="00F81D86" w:rsidRDefault="00883495" w:rsidP="001D11FF">
            <w:pPr>
              <w:pStyle w:val="afffff2"/>
              <w:ind w:left="0"/>
              <w:rPr>
                <w:rFonts w:cs="Arial"/>
                <w:color w:val="000000"/>
                <w:highlight w:val="yellow"/>
              </w:rPr>
            </w:pPr>
          </w:p>
        </w:tc>
      </w:tr>
      <w:tr w:rsidR="00883495" w:rsidRPr="00A4788C" w:rsidTr="008E4C9F">
        <w:trPr>
          <w:trHeight w:val="70"/>
        </w:trPr>
        <w:tc>
          <w:tcPr>
            <w:tcW w:w="1418" w:type="dxa"/>
            <w:tcBorders>
              <w:top w:val="single" w:sz="4" w:space="0" w:color="auto"/>
              <w:left w:val="single" w:sz="4" w:space="0" w:color="auto"/>
              <w:right w:val="single" w:sz="4" w:space="0" w:color="auto"/>
            </w:tcBorders>
          </w:tcPr>
          <w:p w:rsidR="00883495" w:rsidRPr="00A4788C" w:rsidRDefault="00883495" w:rsidP="006A7C5D">
            <w:pPr>
              <w:pStyle w:val="afe"/>
              <w:tabs>
                <w:tab w:val="clear" w:pos="1980"/>
              </w:tabs>
              <w:ind w:left="0" w:firstLine="0"/>
              <w:jc w:val="center"/>
              <w:rPr>
                <w:szCs w:val="24"/>
              </w:rPr>
            </w:pPr>
            <w:r>
              <w:rPr>
                <w:szCs w:val="24"/>
              </w:rPr>
              <w:t>1.1</w:t>
            </w:r>
          </w:p>
        </w:tc>
        <w:tc>
          <w:tcPr>
            <w:tcW w:w="6379" w:type="dxa"/>
            <w:tcBorders>
              <w:top w:val="single" w:sz="4" w:space="0" w:color="auto"/>
              <w:left w:val="single" w:sz="4" w:space="0" w:color="auto"/>
              <w:right w:val="single" w:sz="4" w:space="0" w:color="auto"/>
            </w:tcBorders>
          </w:tcPr>
          <w:p w:rsidR="00883495" w:rsidRPr="005E784C" w:rsidRDefault="00883495" w:rsidP="001D11FF">
            <w:pPr>
              <w:rPr>
                <w:color w:val="000000"/>
              </w:rPr>
            </w:pPr>
            <w:r w:rsidRPr="005E784C">
              <w:rPr>
                <w:color w:val="000000"/>
              </w:rPr>
              <w:t xml:space="preserve">Телефония, КТВ </w:t>
            </w:r>
          </w:p>
        </w:tc>
        <w:tc>
          <w:tcPr>
            <w:tcW w:w="1842" w:type="dxa"/>
            <w:tcBorders>
              <w:top w:val="single" w:sz="4" w:space="0" w:color="auto"/>
              <w:left w:val="single" w:sz="4" w:space="0" w:color="auto"/>
              <w:right w:val="single" w:sz="4" w:space="0" w:color="auto"/>
            </w:tcBorders>
            <w:vAlign w:val="bottom"/>
          </w:tcPr>
          <w:p w:rsidR="00883495" w:rsidRPr="005E784C" w:rsidRDefault="00883495" w:rsidP="001D11FF">
            <w:pPr>
              <w:jc w:val="center"/>
            </w:pPr>
            <w:r w:rsidRPr="005E784C">
              <w:t>1%</w:t>
            </w:r>
          </w:p>
        </w:tc>
      </w:tr>
      <w:tr w:rsidR="00883495" w:rsidRPr="00A4788C" w:rsidTr="008E4C9F">
        <w:trPr>
          <w:trHeight w:val="70"/>
        </w:trPr>
        <w:tc>
          <w:tcPr>
            <w:tcW w:w="1418" w:type="dxa"/>
            <w:tcBorders>
              <w:top w:val="single" w:sz="4" w:space="0" w:color="auto"/>
              <w:left w:val="single" w:sz="4" w:space="0" w:color="auto"/>
              <w:right w:val="single" w:sz="4" w:space="0" w:color="auto"/>
            </w:tcBorders>
          </w:tcPr>
          <w:p w:rsidR="00883495" w:rsidRPr="00A4788C" w:rsidRDefault="00883495" w:rsidP="006A7C5D">
            <w:pPr>
              <w:pStyle w:val="afe"/>
              <w:tabs>
                <w:tab w:val="clear" w:pos="1980"/>
              </w:tabs>
              <w:ind w:left="0" w:firstLine="0"/>
              <w:jc w:val="center"/>
              <w:rPr>
                <w:szCs w:val="24"/>
              </w:rPr>
            </w:pPr>
            <w:r>
              <w:rPr>
                <w:szCs w:val="24"/>
              </w:rPr>
              <w:t>1.2</w:t>
            </w:r>
          </w:p>
        </w:tc>
        <w:tc>
          <w:tcPr>
            <w:tcW w:w="6379" w:type="dxa"/>
            <w:tcBorders>
              <w:top w:val="single" w:sz="4" w:space="0" w:color="auto"/>
              <w:left w:val="single" w:sz="4" w:space="0" w:color="auto"/>
              <w:right w:val="single" w:sz="4" w:space="0" w:color="auto"/>
            </w:tcBorders>
          </w:tcPr>
          <w:p w:rsidR="00883495" w:rsidRPr="005E784C" w:rsidRDefault="00883495" w:rsidP="001D11FF">
            <w:pPr>
              <w:rPr>
                <w:color w:val="000000"/>
              </w:rPr>
            </w:pPr>
            <w:r w:rsidRPr="005E784C">
              <w:rPr>
                <w:color w:val="000000"/>
              </w:rPr>
              <w:t>КТВ</w:t>
            </w:r>
          </w:p>
        </w:tc>
        <w:tc>
          <w:tcPr>
            <w:tcW w:w="1842" w:type="dxa"/>
            <w:tcBorders>
              <w:top w:val="single" w:sz="4" w:space="0" w:color="auto"/>
              <w:left w:val="single" w:sz="4" w:space="0" w:color="auto"/>
              <w:right w:val="single" w:sz="4" w:space="0" w:color="auto"/>
            </w:tcBorders>
            <w:vAlign w:val="bottom"/>
          </w:tcPr>
          <w:p w:rsidR="00883495" w:rsidRPr="005E784C" w:rsidRDefault="00883495" w:rsidP="001D11FF">
            <w:pPr>
              <w:jc w:val="center"/>
            </w:pPr>
            <w:r w:rsidRPr="005E784C">
              <w:t>0,5%</w:t>
            </w:r>
          </w:p>
        </w:tc>
      </w:tr>
      <w:tr w:rsidR="00883495" w:rsidRPr="00A4788C" w:rsidTr="008E4C9F">
        <w:trPr>
          <w:trHeight w:val="70"/>
        </w:trPr>
        <w:tc>
          <w:tcPr>
            <w:tcW w:w="1418" w:type="dxa"/>
            <w:tcBorders>
              <w:top w:val="single" w:sz="4" w:space="0" w:color="auto"/>
              <w:left w:val="single" w:sz="4" w:space="0" w:color="auto"/>
              <w:right w:val="single" w:sz="4" w:space="0" w:color="auto"/>
            </w:tcBorders>
          </w:tcPr>
          <w:p w:rsidR="00883495" w:rsidRPr="00A4788C" w:rsidRDefault="00883495" w:rsidP="006A7C5D">
            <w:pPr>
              <w:pStyle w:val="afe"/>
              <w:tabs>
                <w:tab w:val="clear" w:pos="1980"/>
              </w:tabs>
              <w:ind w:left="0" w:firstLine="0"/>
              <w:jc w:val="center"/>
              <w:rPr>
                <w:szCs w:val="24"/>
              </w:rPr>
            </w:pPr>
            <w:r>
              <w:rPr>
                <w:szCs w:val="24"/>
              </w:rPr>
              <w:t>1.3</w:t>
            </w:r>
          </w:p>
        </w:tc>
        <w:tc>
          <w:tcPr>
            <w:tcW w:w="6379" w:type="dxa"/>
            <w:tcBorders>
              <w:top w:val="single" w:sz="4" w:space="0" w:color="auto"/>
              <w:left w:val="single" w:sz="4" w:space="0" w:color="auto"/>
              <w:right w:val="single" w:sz="4" w:space="0" w:color="auto"/>
            </w:tcBorders>
          </w:tcPr>
          <w:p w:rsidR="00883495" w:rsidRPr="005E784C" w:rsidRDefault="00883495" w:rsidP="001D11FF">
            <w:pPr>
              <w:rPr>
                <w:color w:val="000000"/>
              </w:rPr>
            </w:pPr>
            <w:r w:rsidRPr="005E784C">
              <w:rPr>
                <w:color w:val="000000"/>
              </w:rPr>
              <w:t>Телефония, Интернет</w:t>
            </w:r>
          </w:p>
        </w:tc>
        <w:tc>
          <w:tcPr>
            <w:tcW w:w="1842" w:type="dxa"/>
            <w:tcBorders>
              <w:top w:val="single" w:sz="4" w:space="0" w:color="auto"/>
              <w:left w:val="single" w:sz="4" w:space="0" w:color="auto"/>
              <w:right w:val="single" w:sz="4" w:space="0" w:color="auto"/>
            </w:tcBorders>
            <w:vAlign w:val="bottom"/>
          </w:tcPr>
          <w:p w:rsidR="00883495" w:rsidRPr="005E784C" w:rsidRDefault="00883495" w:rsidP="001D11FF">
            <w:pPr>
              <w:jc w:val="center"/>
            </w:pPr>
            <w:r w:rsidRPr="005E784C">
              <w:t>1%</w:t>
            </w:r>
          </w:p>
        </w:tc>
      </w:tr>
      <w:tr w:rsidR="00883495" w:rsidRPr="00A4788C" w:rsidTr="008E4C9F">
        <w:trPr>
          <w:trHeight w:val="70"/>
        </w:trPr>
        <w:tc>
          <w:tcPr>
            <w:tcW w:w="1418" w:type="dxa"/>
            <w:tcBorders>
              <w:top w:val="single" w:sz="4" w:space="0" w:color="auto"/>
              <w:left w:val="single" w:sz="4" w:space="0" w:color="auto"/>
              <w:right w:val="single" w:sz="4" w:space="0" w:color="auto"/>
            </w:tcBorders>
          </w:tcPr>
          <w:p w:rsidR="00883495" w:rsidRPr="00A4788C" w:rsidRDefault="00883495" w:rsidP="006A7C5D">
            <w:pPr>
              <w:pStyle w:val="afe"/>
              <w:tabs>
                <w:tab w:val="clear" w:pos="1980"/>
              </w:tabs>
              <w:ind w:left="0" w:firstLine="0"/>
              <w:jc w:val="center"/>
              <w:rPr>
                <w:szCs w:val="24"/>
              </w:rPr>
            </w:pPr>
            <w:r>
              <w:rPr>
                <w:szCs w:val="24"/>
              </w:rPr>
              <w:t>1.4</w:t>
            </w:r>
          </w:p>
        </w:tc>
        <w:tc>
          <w:tcPr>
            <w:tcW w:w="6379" w:type="dxa"/>
            <w:tcBorders>
              <w:top w:val="single" w:sz="4" w:space="0" w:color="auto"/>
              <w:left w:val="single" w:sz="4" w:space="0" w:color="auto"/>
              <w:right w:val="single" w:sz="4" w:space="0" w:color="auto"/>
            </w:tcBorders>
          </w:tcPr>
          <w:p w:rsidR="00883495" w:rsidRPr="005E784C" w:rsidRDefault="00883495" w:rsidP="001D11FF">
            <w:pPr>
              <w:rPr>
                <w:color w:val="000000"/>
              </w:rPr>
            </w:pPr>
            <w:r w:rsidRPr="005E784C">
              <w:rPr>
                <w:color w:val="000000"/>
              </w:rPr>
              <w:t>Интернет</w:t>
            </w:r>
          </w:p>
        </w:tc>
        <w:tc>
          <w:tcPr>
            <w:tcW w:w="1842" w:type="dxa"/>
            <w:tcBorders>
              <w:top w:val="single" w:sz="4" w:space="0" w:color="auto"/>
              <w:left w:val="single" w:sz="4" w:space="0" w:color="auto"/>
              <w:right w:val="single" w:sz="4" w:space="0" w:color="auto"/>
            </w:tcBorders>
            <w:vAlign w:val="bottom"/>
          </w:tcPr>
          <w:p w:rsidR="00883495" w:rsidRPr="005E784C" w:rsidRDefault="00883495" w:rsidP="001D11FF">
            <w:pPr>
              <w:jc w:val="center"/>
            </w:pPr>
            <w:r w:rsidRPr="005E784C">
              <w:t>1%</w:t>
            </w:r>
          </w:p>
        </w:tc>
      </w:tr>
      <w:tr w:rsidR="00883495" w:rsidRPr="00A4788C" w:rsidTr="008E4C9F">
        <w:trPr>
          <w:trHeight w:val="70"/>
        </w:trPr>
        <w:tc>
          <w:tcPr>
            <w:tcW w:w="1418" w:type="dxa"/>
            <w:tcBorders>
              <w:top w:val="single" w:sz="4" w:space="0" w:color="auto"/>
              <w:left w:val="single" w:sz="4" w:space="0" w:color="auto"/>
              <w:right w:val="single" w:sz="4" w:space="0" w:color="auto"/>
            </w:tcBorders>
          </w:tcPr>
          <w:p w:rsidR="00883495" w:rsidRPr="00A4788C" w:rsidRDefault="00883495" w:rsidP="006A7C5D">
            <w:pPr>
              <w:pStyle w:val="afe"/>
              <w:tabs>
                <w:tab w:val="clear" w:pos="1980"/>
              </w:tabs>
              <w:ind w:left="0" w:firstLine="0"/>
              <w:jc w:val="center"/>
              <w:rPr>
                <w:szCs w:val="24"/>
              </w:rPr>
            </w:pPr>
            <w:r>
              <w:rPr>
                <w:szCs w:val="24"/>
              </w:rPr>
              <w:t>1.5</w:t>
            </w:r>
          </w:p>
        </w:tc>
        <w:tc>
          <w:tcPr>
            <w:tcW w:w="6379" w:type="dxa"/>
            <w:tcBorders>
              <w:top w:val="single" w:sz="4" w:space="0" w:color="auto"/>
              <w:left w:val="single" w:sz="4" w:space="0" w:color="auto"/>
              <w:right w:val="single" w:sz="4" w:space="0" w:color="auto"/>
            </w:tcBorders>
          </w:tcPr>
          <w:p w:rsidR="00883495" w:rsidRPr="005E784C" w:rsidRDefault="00883495" w:rsidP="001D11FF">
            <w:pPr>
              <w:rPr>
                <w:color w:val="000000"/>
              </w:rPr>
            </w:pPr>
            <w:r w:rsidRPr="005E784C">
              <w:rPr>
                <w:color w:val="000000"/>
              </w:rPr>
              <w:t>Телефония, Интернет и IP/TV</w:t>
            </w:r>
          </w:p>
        </w:tc>
        <w:tc>
          <w:tcPr>
            <w:tcW w:w="1842" w:type="dxa"/>
            <w:tcBorders>
              <w:top w:val="single" w:sz="4" w:space="0" w:color="auto"/>
              <w:left w:val="single" w:sz="4" w:space="0" w:color="auto"/>
              <w:right w:val="single" w:sz="4" w:space="0" w:color="auto"/>
            </w:tcBorders>
            <w:vAlign w:val="bottom"/>
          </w:tcPr>
          <w:p w:rsidR="00883495" w:rsidRPr="005E784C" w:rsidRDefault="00883495" w:rsidP="001D11FF">
            <w:pPr>
              <w:jc w:val="center"/>
            </w:pPr>
            <w:r w:rsidRPr="005E784C">
              <w:t>0,5%</w:t>
            </w:r>
          </w:p>
        </w:tc>
      </w:tr>
      <w:tr w:rsidR="00883495" w:rsidRPr="00A4788C" w:rsidTr="008E4C9F">
        <w:trPr>
          <w:trHeight w:val="70"/>
        </w:trPr>
        <w:tc>
          <w:tcPr>
            <w:tcW w:w="1418" w:type="dxa"/>
            <w:tcBorders>
              <w:top w:val="single" w:sz="4" w:space="0" w:color="auto"/>
              <w:left w:val="single" w:sz="4" w:space="0" w:color="auto"/>
              <w:right w:val="single" w:sz="4" w:space="0" w:color="auto"/>
            </w:tcBorders>
          </w:tcPr>
          <w:p w:rsidR="00883495" w:rsidRPr="00A4788C" w:rsidRDefault="00883495" w:rsidP="006A7C5D">
            <w:pPr>
              <w:pStyle w:val="afe"/>
              <w:tabs>
                <w:tab w:val="clear" w:pos="1980"/>
              </w:tabs>
              <w:ind w:left="0" w:firstLine="0"/>
              <w:jc w:val="center"/>
              <w:rPr>
                <w:szCs w:val="24"/>
              </w:rPr>
            </w:pPr>
            <w:r>
              <w:rPr>
                <w:szCs w:val="24"/>
              </w:rPr>
              <w:t>1.6</w:t>
            </w:r>
          </w:p>
        </w:tc>
        <w:tc>
          <w:tcPr>
            <w:tcW w:w="6379" w:type="dxa"/>
            <w:tcBorders>
              <w:top w:val="single" w:sz="4" w:space="0" w:color="auto"/>
              <w:left w:val="single" w:sz="4" w:space="0" w:color="auto"/>
              <w:right w:val="single" w:sz="4" w:space="0" w:color="auto"/>
            </w:tcBorders>
          </w:tcPr>
          <w:p w:rsidR="00883495" w:rsidRPr="005E784C" w:rsidRDefault="00883495" w:rsidP="001D11FF">
            <w:pPr>
              <w:rPr>
                <w:color w:val="000000"/>
              </w:rPr>
            </w:pPr>
            <w:r w:rsidRPr="005E784C">
              <w:rPr>
                <w:color w:val="000000"/>
              </w:rPr>
              <w:t>Интернет и IP/TV</w:t>
            </w:r>
          </w:p>
        </w:tc>
        <w:tc>
          <w:tcPr>
            <w:tcW w:w="1842" w:type="dxa"/>
            <w:tcBorders>
              <w:top w:val="single" w:sz="4" w:space="0" w:color="auto"/>
              <w:left w:val="single" w:sz="4" w:space="0" w:color="auto"/>
              <w:right w:val="single" w:sz="4" w:space="0" w:color="auto"/>
            </w:tcBorders>
            <w:vAlign w:val="bottom"/>
          </w:tcPr>
          <w:p w:rsidR="00883495" w:rsidRPr="005E784C" w:rsidRDefault="00883495" w:rsidP="001D11FF">
            <w:pPr>
              <w:jc w:val="center"/>
            </w:pPr>
            <w:r w:rsidRPr="005E784C">
              <w:t>0,5%</w:t>
            </w:r>
          </w:p>
        </w:tc>
      </w:tr>
      <w:tr w:rsidR="00883495" w:rsidRPr="00A4788C" w:rsidTr="008E4C9F">
        <w:trPr>
          <w:trHeight w:val="70"/>
        </w:trPr>
        <w:tc>
          <w:tcPr>
            <w:tcW w:w="1418" w:type="dxa"/>
            <w:tcBorders>
              <w:top w:val="single" w:sz="4" w:space="0" w:color="auto"/>
              <w:left w:val="single" w:sz="4" w:space="0" w:color="auto"/>
              <w:right w:val="single" w:sz="4" w:space="0" w:color="auto"/>
            </w:tcBorders>
          </w:tcPr>
          <w:p w:rsidR="00883495" w:rsidRPr="00A4788C" w:rsidRDefault="00883495" w:rsidP="006A7C5D">
            <w:pPr>
              <w:pStyle w:val="afe"/>
              <w:tabs>
                <w:tab w:val="clear" w:pos="1980"/>
              </w:tabs>
              <w:ind w:left="0" w:firstLine="0"/>
              <w:jc w:val="center"/>
              <w:rPr>
                <w:szCs w:val="24"/>
              </w:rPr>
            </w:pPr>
            <w:r>
              <w:rPr>
                <w:szCs w:val="24"/>
              </w:rPr>
              <w:t>1.7</w:t>
            </w:r>
          </w:p>
        </w:tc>
        <w:tc>
          <w:tcPr>
            <w:tcW w:w="6379" w:type="dxa"/>
            <w:tcBorders>
              <w:top w:val="single" w:sz="4" w:space="0" w:color="auto"/>
              <w:left w:val="single" w:sz="4" w:space="0" w:color="auto"/>
              <w:right w:val="single" w:sz="4" w:space="0" w:color="auto"/>
            </w:tcBorders>
          </w:tcPr>
          <w:p w:rsidR="00883495" w:rsidRPr="005E784C" w:rsidRDefault="00883495" w:rsidP="001D11FF">
            <w:pPr>
              <w:rPr>
                <w:color w:val="000000"/>
              </w:rPr>
            </w:pPr>
            <w:r w:rsidRPr="005E784C">
              <w:rPr>
                <w:color w:val="000000"/>
              </w:rPr>
              <w:t>Телефония, Интернет и КТВ</w:t>
            </w:r>
          </w:p>
        </w:tc>
        <w:tc>
          <w:tcPr>
            <w:tcW w:w="1842" w:type="dxa"/>
            <w:tcBorders>
              <w:top w:val="single" w:sz="4" w:space="0" w:color="auto"/>
              <w:left w:val="single" w:sz="4" w:space="0" w:color="auto"/>
              <w:right w:val="single" w:sz="4" w:space="0" w:color="auto"/>
            </w:tcBorders>
            <w:vAlign w:val="bottom"/>
          </w:tcPr>
          <w:p w:rsidR="00883495" w:rsidRPr="005E784C" w:rsidRDefault="00883495" w:rsidP="001D11FF">
            <w:pPr>
              <w:jc w:val="center"/>
            </w:pPr>
            <w:r w:rsidRPr="005E784C">
              <w:t>10%</w:t>
            </w:r>
          </w:p>
        </w:tc>
      </w:tr>
      <w:tr w:rsidR="00883495" w:rsidRPr="00A4788C" w:rsidTr="008E4C9F">
        <w:trPr>
          <w:trHeight w:val="70"/>
        </w:trPr>
        <w:tc>
          <w:tcPr>
            <w:tcW w:w="1418" w:type="dxa"/>
            <w:tcBorders>
              <w:top w:val="single" w:sz="4" w:space="0" w:color="auto"/>
              <w:left w:val="single" w:sz="4" w:space="0" w:color="auto"/>
              <w:right w:val="single" w:sz="4" w:space="0" w:color="auto"/>
            </w:tcBorders>
          </w:tcPr>
          <w:p w:rsidR="00883495" w:rsidRPr="00A4788C" w:rsidRDefault="00883495" w:rsidP="006A7C5D">
            <w:pPr>
              <w:pStyle w:val="afe"/>
              <w:tabs>
                <w:tab w:val="clear" w:pos="1980"/>
              </w:tabs>
              <w:ind w:left="0" w:firstLine="0"/>
              <w:jc w:val="center"/>
              <w:rPr>
                <w:szCs w:val="24"/>
              </w:rPr>
            </w:pPr>
            <w:r>
              <w:rPr>
                <w:szCs w:val="24"/>
              </w:rPr>
              <w:t>1.8</w:t>
            </w:r>
          </w:p>
        </w:tc>
        <w:tc>
          <w:tcPr>
            <w:tcW w:w="6379" w:type="dxa"/>
            <w:tcBorders>
              <w:top w:val="single" w:sz="4" w:space="0" w:color="auto"/>
              <w:left w:val="single" w:sz="4" w:space="0" w:color="auto"/>
              <w:right w:val="single" w:sz="4" w:space="0" w:color="auto"/>
            </w:tcBorders>
          </w:tcPr>
          <w:p w:rsidR="00883495" w:rsidRPr="005E784C" w:rsidRDefault="00883495" w:rsidP="001D11FF">
            <w:pPr>
              <w:rPr>
                <w:color w:val="000000"/>
              </w:rPr>
            </w:pPr>
            <w:r w:rsidRPr="005E784C">
              <w:rPr>
                <w:color w:val="000000"/>
              </w:rPr>
              <w:t>Интернет и КТВ</w:t>
            </w:r>
          </w:p>
        </w:tc>
        <w:tc>
          <w:tcPr>
            <w:tcW w:w="1842" w:type="dxa"/>
            <w:tcBorders>
              <w:top w:val="single" w:sz="4" w:space="0" w:color="auto"/>
              <w:left w:val="single" w:sz="4" w:space="0" w:color="auto"/>
              <w:right w:val="single" w:sz="4" w:space="0" w:color="auto"/>
            </w:tcBorders>
            <w:vAlign w:val="bottom"/>
          </w:tcPr>
          <w:p w:rsidR="00883495" w:rsidRPr="005E784C" w:rsidRDefault="00883495" w:rsidP="001D11FF">
            <w:pPr>
              <w:jc w:val="center"/>
            </w:pPr>
            <w:r w:rsidRPr="005E784C">
              <w:t>82%</w:t>
            </w:r>
          </w:p>
        </w:tc>
      </w:tr>
      <w:tr w:rsidR="00883495" w:rsidRPr="00A4788C" w:rsidTr="008E4C9F">
        <w:trPr>
          <w:trHeight w:val="70"/>
        </w:trPr>
        <w:tc>
          <w:tcPr>
            <w:tcW w:w="1418" w:type="dxa"/>
            <w:tcBorders>
              <w:top w:val="single" w:sz="4" w:space="0" w:color="auto"/>
              <w:left w:val="single" w:sz="4" w:space="0" w:color="auto"/>
              <w:right w:val="single" w:sz="4" w:space="0" w:color="auto"/>
            </w:tcBorders>
          </w:tcPr>
          <w:p w:rsidR="00883495" w:rsidRPr="00A4788C" w:rsidRDefault="00883495" w:rsidP="006A7C5D">
            <w:pPr>
              <w:pStyle w:val="afe"/>
              <w:tabs>
                <w:tab w:val="clear" w:pos="1980"/>
              </w:tabs>
              <w:ind w:left="0" w:firstLine="0"/>
              <w:jc w:val="center"/>
              <w:rPr>
                <w:szCs w:val="24"/>
              </w:rPr>
            </w:pPr>
            <w:r>
              <w:rPr>
                <w:szCs w:val="24"/>
              </w:rPr>
              <w:t>1.9</w:t>
            </w:r>
          </w:p>
        </w:tc>
        <w:tc>
          <w:tcPr>
            <w:tcW w:w="6379" w:type="dxa"/>
            <w:tcBorders>
              <w:top w:val="single" w:sz="4" w:space="0" w:color="auto"/>
              <w:left w:val="single" w:sz="4" w:space="0" w:color="auto"/>
              <w:right w:val="single" w:sz="4" w:space="0" w:color="auto"/>
            </w:tcBorders>
          </w:tcPr>
          <w:p w:rsidR="00883495" w:rsidRPr="005E784C" w:rsidRDefault="00883495" w:rsidP="001D11FF">
            <w:pPr>
              <w:rPr>
                <w:color w:val="000000"/>
              </w:rPr>
            </w:pPr>
            <w:r w:rsidRPr="005E784C">
              <w:rPr>
                <w:color w:val="000000"/>
              </w:rPr>
              <w:t>Телефония, Интернет и IP/TV и КТВ</w:t>
            </w:r>
          </w:p>
        </w:tc>
        <w:tc>
          <w:tcPr>
            <w:tcW w:w="1842" w:type="dxa"/>
            <w:tcBorders>
              <w:top w:val="single" w:sz="4" w:space="0" w:color="auto"/>
              <w:left w:val="single" w:sz="4" w:space="0" w:color="auto"/>
              <w:right w:val="single" w:sz="4" w:space="0" w:color="auto"/>
            </w:tcBorders>
            <w:vAlign w:val="bottom"/>
          </w:tcPr>
          <w:p w:rsidR="00883495" w:rsidRPr="005E784C" w:rsidRDefault="00883495" w:rsidP="001D11FF">
            <w:pPr>
              <w:jc w:val="center"/>
            </w:pPr>
            <w:r w:rsidRPr="005E784C">
              <w:t>0,5%</w:t>
            </w:r>
          </w:p>
        </w:tc>
      </w:tr>
      <w:tr w:rsidR="00883495" w:rsidRPr="00A4788C" w:rsidTr="0023130A">
        <w:trPr>
          <w:trHeight w:val="618"/>
        </w:trPr>
        <w:tc>
          <w:tcPr>
            <w:tcW w:w="1418" w:type="dxa"/>
            <w:tcBorders>
              <w:top w:val="single" w:sz="4" w:space="0" w:color="auto"/>
              <w:left w:val="single" w:sz="4" w:space="0" w:color="auto"/>
              <w:right w:val="single" w:sz="4" w:space="0" w:color="auto"/>
            </w:tcBorders>
          </w:tcPr>
          <w:p w:rsidR="00883495" w:rsidRPr="00A4788C" w:rsidRDefault="00883495"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883495" w:rsidRPr="00883495" w:rsidRDefault="00883495" w:rsidP="001D11FF">
            <w:pPr>
              <w:pStyle w:val="afffff2"/>
              <w:ind w:left="0"/>
              <w:rPr>
                <w:rFonts w:ascii="Times New Roman" w:hAnsi="Times New Roman"/>
                <w:color w:val="000000"/>
                <w:sz w:val="24"/>
                <w:szCs w:val="24"/>
              </w:rPr>
            </w:pPr>
            <w:r w:rsidRPr="00883495">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883495" w:rsidRPr="00883495" w:rsidRDefault="00883495" w:rsidP="00883495">
            <w:pPr>
              <w:pStyle w:val="afffff2"/>
              <w:ind w:left="0"/>
              <w:jc w:val="center"/>
              <w:rPr>
                <w:rFonts w:ascii="Times New Roman" w:hAnsi="Times New Roman"/>
                <w:color w:val="000000"/>
                <w:sz w:val="24"/>
                <w:szCs w:val="24"/>
              </w:rPr>
            </w:pPr>
            <w:r w:rsidRPr="00883495">
              <w:rPr>
                <w:rFonts w:ascii="Times New Roman" w:hAnsi="Times New Roman"/>
                <w:color w:val="000000"/>
                <w:sz w:val="24"/>
                <w:szCs w:val="24"/>
              </w:rPr>
              <w:t>3%</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883495" w:rsidRPr="00883495">
        <w:rPr>
          <w:b/>
        </w:rPr>
        <w:t>Стоимость подключения к услугам одного абонента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A4788C" w:rsidRDefault="00883495" w:rsidP="006A7C5D">
            <w:pPr>
              <w:pStyle w:val="aff2"/>
              <w:spacing w:before="0" w:beforeAutospacing="0" w:after="0" w:afterAutospacing="0"/>
              <w:ind w:hanging="3"/>
            </w:pPr>
            <w:r w:rsidRPr="00883495">
              <w:rPr>
                <w:b/>
              </w:rPr>
              <w:t>Стоимость подключения к услугам одного абонента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883495" w:rsidP="00E15BE5">
            <w:pPr>
              <w:jc w:val="both"/>
            </w:pPr>
            <w:r w:rsidRPr="00F57F6D">
              <w:t xml:space="preserve">Оценивается предложение </w:t>
            </w:r>
            <w:r w:rsidRPr="00F57F6D">
              <w:rPr>
                <w:szCs w:val="28"/>
              </w:rPr>
              <w:t>стоимости подключения к услугам одного абонента</w:t>
            </w:r>
            <w:r w:rsidRPr="00F57F6D">
              <w:t>, указанное участником закупки в его заявке на участие в закупке</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lastRenderedPageBreak/>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46992" w:rsidP="00446992">
            <w:pPr>
              <w:jc w:val="both"/>
            </w:pPr>
            <w:r w:rsidRPr="00046853">
              <w:t>Оценивается согласие участника закупки на дополнительное увеличение срока оплаты, установленного закупочной документацией</w:t>
            </w:r>
            <w:r>
              <w:t xml:space="preserve"> (</w:t>
            </w:r>
            <w:r w:rsidRPr="00046853">
              <w:rPr>
                <w:i/>
                <w:color w:val="365F91" w:themeColor="accent1" w:themeShade="BF"/>
              </w:rPr>
              <w:t xml:space="preserve">п. 33 раздела 2.3 </w:t>
            </w:r>
            <w:r>
              <w:rPr>
                <w:i/>
                <w:color w:val="365F91" w:themeColor="accent1" w:themeShade="BF"/>
              </w:rPr>
              <w:t>«</w:t>
            </w:r>
            <w:r w:rsidRPr="00046853">
              <w:rPr>
                <w:rFonts w:eastAsia="MS Mincho"/>
                <w:i/>
                <w:iCs/>
                <w:color w:val="365F91" w:themeColor="accent1" w:themeShade="BF"/>
                <w:lang w:val="x-none" w:eastAsia="x-none"/>
              </w:rPr>
              <w:t>Условия заключения и исполнения договора</w:t>
            </w:r>
            <w:r>
              <w:rPr>
                <w:rFonts w:eastAsia="MS Mincho"/>
                <w:i/>
                <w:iCs/>
                <w:color w:val="365F91" w:themeColor="accent1" w:themeShade="BF"/>
                <w:lang w:eastAsia="x-none"/>
              </w:rPr>
              <w:t>»</w:t>
            </w:r>
            <w:r w:rsidRPr="00046853">
              <w:rPr>
                <w:i/>
                <w:color w:val="365F91" w:themeColor="accent1" w:themeShade="BF"/>
              </w:rPr>
              <w:t xml:space="preserve"> Документации</w:t>
            </w:r>
            <w:r>
              <w:t>)</w:t>
            </w:r>
            <w:r w:rsidRPr="00046853">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883495" w:rsidRPr="00883495">
        <w:t>Стоимость подключения к услугам одного абонента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507625849"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w:t>
      </w:r>
      <w:r w:rsidR="00883495">
        <w:rPr>
          <w:rFonts w:ascii="Times New Roman" w:hAnsi="Times New Roman" w:cs="Times New Roman"/>
          <w:sz w:val="24"/>
          <w:szCs w:val="24"/>
        </w:rPr>
        <w:t>п</w:t>
      </w:r>
      <w:r>
        <w:rPr>
          <w:rFonts w:ascii="Times New Roman" w:hAnsi="Times New Roman" w:cs="Times New Roman"/>
          <w:sz w:val="24"/>
          <w:szCs w:val="24"/>
        </w:rPr>
        <w:t xml:space="preserve">о </w:t>
      </w:r>
      <w:r w:rsidR="00883495">
        <w:rPr>
          <w:rFonts w:ascii="Times New Roman" w:hAnsi="Times New Roman" w:cs="Times New Roman"/>
          <w:b/>
          <w:sz w:val="24"/>
          <w:szCs w:val="24"/>
        </w:rPr>
        <w:t>с</w:t>
      </w:r>
      <w:r w:rsidR="00883495" w:rsidRPr="00883495">
        <w:rPr>
          <w:rFonts w:ascii="Times New Roman" w:hAnsi="Times New Roman" w:cs="Times New Roman"/>
          <w:b/>
          <w:sz w:val="24"/>
          <w:szCs w:val="24"/>
        </w:rPr>
        <w:t>тоимост</w:t>
      </w:r>
      <w:r w:rsidR="00883495">
        <w:rPr>
          <w:rFonts w:ascii="Times New Roman" w:hAnsi="Times New Roman" w:cs="Times New Roman"/>
          <w:b/>
          <w:sz w:val="24"/>
          <w:szCs w:val="24"/>
        </w:rPr>
        <w:t>и</w:t>
      </w:r>
      <w:r w:rsidR="00883495" w:rsidRPr="00883495">
        <w:rPr>
          <w:rFonts w:ascii="Times New Roman" w:hAnsi="Times New Roman" w:cs="Times New Roman"/>
          <w:b/>
          <w:sz w:val="24"/>
          <w:szCs w:val="24"/>
        </w:rPr>
        <w:t xml:space="preserve"> подключения к услугам одного абонента</w:t>
      </w:r>
      <w:r w:rsidR="00883495">
        <w:rPr>
          <w:rFonts w:ascii="Times New Roman" w:hAnsi="Times New Roman" w:cs="Times New Roman"/>
          <w:b/>
          <w:sz w:val="24"/>
          <w:szCs w:val="24"/>
        </w:rPr>
        <w:t xml:space="preserve"> </w:t>
      </w:r>
      <w:r w:rsidR="00883495" w:rsidRPr="00883495">
        <w:rPr>
          <w:rFonts w:ascii="Times New Roman" w:hAnsi="Times New Roman" w:cs="Times New Roman"/>
          <w:sz w:val="24"/>
          <w:szCs w:val="24"/>
        </w:rPr>
        <w:t>по каждому виду услуг отдельно</w:t>
      </w:r>
      <w:r>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w:t>
      </w:r>
      <w:r w:rsidR="00883495">
        <w:rPr>
          <w:rFonts w:ascii="Times New Roman" w:hAnsi="Times New Roman" w:cs="Times New Roman"/>
          <w:b/>
          <w:sz w:val="24"/>
          <w:szCs w:val="24"/>
        </w:rPr>
        <w:t>с</w:t>
      </w:r>
      <w:r w:rsidR="00883495" w:rsidRPr="00883495">
        <w:rPr>
          <w:rFonts w:ascii="Times New Roman" w:hAnsi="Times New Roman" w:cs="Times New Roman"/>
          <w:b/>
          <w:sz w:val="24"/>
          <w:szCs w:val="24"/>
        </w:rPr>
        <w:t>тоимост</w:t>
      </w:r>
      <w:r w:rsidR="00883495">
        <w:rPr>
          <w:rFonts w:ascii="Times New Roman" w:hAnsi="Times New Roman" w:cs="Times New Roman"/>
          <w:b/>
          <w:sz w:val="24"/>
          <w:szCs w:val="24"/>
        </w:rPr>
        <w:t>и</w:t>
      </w:r>
      <w:r w:rsidR="00883495" w:rsidRPr="00883495">
        <w:rPr>
          <w:rFonts w:ascii="Times New Roman" w:hAnsi="Times New Roman" w:cs="Times New Roman"/>
          <w:b/>
          <w:sz w:val="24"/>
          <w:szCs w:val="24"/>
        </w:rPr>
        <w:t xml:space="preserve"> подключения к услугам одного абонента</w:t>
      </w:r>
      <w:r w:rsidR="00C635D0">
        <w:rPr>
          <w:rFonts w:ascii="Times New Roman" w:hAnsi="Times New Roman" w:cs="Times New Roman"/>
          <w:b/>
          <w:sz w:val="24"/>
          <w:szCs w:val="24"/>
        </w:rPr>
        <w:t xml:space="preserve"> </w:t>
      </w:r>
      <w:r w:rsidR="00C635D0" w:rsidRPr="00883495">
        <w:rPr>
          <w:rFonts w:ascii="Times New Roman" w:hAnsi="Times New Roman" w:cs="Times New Roman"/>
          <w:sz w:val="24"/>
          <w:szCs w:val="24"/>
        </w:rPr>
        <w:t>по каждому виду услуг отдельно</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00883495" w:rsidRPr="00883495">
        <w:t>Стоимость подключения к услугам одного абонента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684FB0" w:rsidRDefault="00446992" w:rsidP="00446992">
      <w:pPr>
        <w:ind w:firstLine="567"/>
        <w:jc w:val="both"/>
      </w:pPr>
      <w:r w:rsidRPr="00684FB0">
        <w:t xml:space="preserve">Наличие в заявке </w:t>
      </w:r>
      <w:r>
        <w:t xml:space="preserve">участника закупки </w:t>
      </w:r>
      <w:r w:rsidR="0023130A">
        <w:t xml:space="preserve">условий оплаты </w:t>
      </w:r>
      <w:r w:rsidR="00C635D0" w:rsidRPr="00925DBD">
        <w:t xml:space="preserve">в течение </w:t>
      </w:r>
      <w:r w:rsidR="00C635D0">
        <w:t>6</w:t>
      </w:r>
      <w:r w:rsidR="00C635D0">
        <w:t>0 (</w:t>
      </w:r>
      <w:r w:rsidR="00C635D0">
        <w:t>шестидесяти</w:t>
      </w:r>
      <w:r w:rsidR="00C635D0">
        <w:t>) календарных</w:t>
      </w:r>
      <w:r w:rsidR="00C635D0" w:rsidRPr="00925DBD">
        <w:t xml:space="preserve"> </w:t>
      </w:r>
      <w:r w:rsidR="00C635D0">
        <w:t>дней</w:t>
      </w:r>
      <w:r w:rsidR="00C635D0" w:rsidRPr="00925DBD">
        <w:t xml:space="preserve"> с момента подписания акта </w:t>
      </w:r>
      <w:r w:rsidR="00C635D0">
        <w:t xml:space="preserve">приемки выполненных работ (форма КС-2), </w:t>
      </w:r>
      <w:r w:rsidR="00C635D0">
        <w:rPr>
          <w:color w:val="000000"/>
        </w:rPr>
        <w:t>справки о стоимости выполненных работ (Форма КС-3)</w:t>
      </w:r>
      <w:r w:rsidR="00C635D0">
        <w:t xml:space="preserve"> и акта на списание абонентского оборудования</w:t>
      </w:r>
      <w:r w:rsidRPr="00684FB0">
        <w:t xml:space="preserve"> – </w:t>
      </w:r>
      <w:r w:rsidRPr="00684FB0">
        <w:rPr>
          <w:b/>
        </w:rPr>
        <w:t>100 баллов,</w:t>
      </w:r>
    </w:p>
    <w:p w:rsidR="0023130A" w:rsidRDefault="0023130A" w:rsidP="00446992">
      <w:pPr>
        <w:ind w:firstLine="567"/>
        <w:jc w:val="both"/>
      </w:pPr>
      <w:r w:rsidRPr="00684FB0">
        <w:t xml:space="preserve">Наличие в заявке </w:t>
      </w:r>
      <w:r>
        <w:t xml:space="preserve">участника закупки условий оплаты </w:t>
      </w:r>
      <w:r w:rsidR="00C635D0" w:rsidRPr="00925DBD">
        <w:t xml:space="preserve">в течение </w:t>
      </w:r>
      <w:r w:rsidR="00C635D0">
        <w:t>30 (тридцати) календарных</w:t>
      </w:r>
      <w:r w:rsidR="00C635D0" w:rsidRPr="00925DBD">
        <w:t xml:space="preserve"> </w:t>
      </w:r>
      <w:r w:rsidR="00C635D0">
        <w:t>дней</w:t>
      </w:r>
      <w:r w:rsidR="00C635D0" w:rsidRPr="00925DBD">
        <w:t xml:space="preserve"> с момента подписания акта </w:t>
      </w:r>
      <w:r w:rsidR="00C635D0">
        <w:t xml:space="preserve">приемки выполненных работ (форма КС-2), </w:t>
      </w:r>
      <w:r w:rsidR="00C635D0">
        <w:rPr>
          <w:color w:val="000000"/>
        </w:rPr>
        <w:t>справки о стоимости выполненных работ (Форма КС-3)</w:t>
      </w:r>
      <w:r w:rsidR="00C635D0">
        <w:t xml:space="preserve"> и акта на списание абонентского оборудования</w:t>
      </w:r>
      <w:r>
        <w:rPr>
          <w:rFonts w:cs="Arial"/>
          <w:color w:val="000000"/>
        </w:rPr>
        <w:t xml:space="preserve"> </w:t>
      </w:r>
      <w:r w:rsidR="00446992" w:rsidRPr="00684FB0">
        <w:t xml:space="preserve">- </w:t>
      </w:r>
      <w:r w:rsidR="00446992" w:rsidRPr="00684FB0">
        <w:rPr>
          <w:b/>
        </w:rPr>
        <w:t>0 баллов</w:t>
      </w:r>
      <w:r w:rsidR="00446992" w:rsidRPr="00684FB0">
        <w:t>.</w:t>
      </w:r>
    </w:p>
    <w:p w:rsidR="00446992" w:rsidRDefault="0023130A" w:rsidP="00446992">
      <w:pPr>
        <w:ind w:firstLine="567"/>
        <w:jc w:val="both"/>
        <w:rPr>
          <w:b/>
        </w:rPr>
      </w:pPr>
      <w:r>
        <w:t xml:space="preserve"> </w:t>
      </w:r>
      <w:r w:rsidRPr="0023130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bookmarkStart w:id="3" w:name="_GoBack"/>
      <w:bookmarkEnd w:id="3"/>
    </w:p>
    <w:sectPr w:rsidR="000F72A4"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C35" w:rsidRDefault="00734C35">
      <w:r>
        <w:separator/>
      </w:r>
    </w:p>
  </w:endnote>
  <w:endnote w:type="continuationSeparator" w:id="0">
    <w:p w:rsidR="00734C35" w:rsidRDefault="00734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C35" w:rsidRDefault="00734C35">
      <w:r>
        <w:separator/>
      </w:r>
    </w:p>
  </w:footnote>
  <w:footnote w:type="continuationSeparator" w:id="0">
    <w:p w:rsidR="00734C35" w:rsidRDefault="00734C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C635D0">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4C35"/>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495"/>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5D0"/>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10A24-960B-4F1B-A0FC-273C1A5BB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634</Words>
  <Characters>3614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Фаррахова Эльвера Римовна</cp:lastModifiedBy>
  <cp:revision>14</cp:revision>
  <cp:lastPrinted>2015-10-27T06:40:00Z</cp:lastPrinted>
  <dcterms:created xsi:type="dcterms:W3CDTF">2013-03-06T09:10:00Z</dcterms:created>
  <dcterms:modified xsi:type="dcterms:W3CDTF">2015-10-29T07:11:00Z</dcterms:modified>
</cp:coreProperties>
</file>