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E654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8E654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8E654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D471E"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FA7C45">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roofErr w:type="gramStart"/>
      <w:r>
        <w:t>.</w:t>
      </w:r>
      <w:r>
        <w:rPr>
          <w:i/>
          <w:color w:val="BFBFBF"/>
          <w:sz w:val="12"/>
          <w:szCs w:val="12"/>
        </w:rPr>
        <w:t>.</w:t>
      </w:r>
      <w:proofErr w:type="gramEnd"/>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5C21C7"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853EE5" w:rsidRDefault="000F4823" w:rsidP="000F4823">
            <w:pPr>
              <w:pStyle w:val="Default"/>
              <w:jc w:val="both"/>
              <w:rPr>
                <w:rStyle w:val="a3"/>
                <w:bCs/>
              </w:rPr>
            </w:pPr>
            <w:r w:rsidRPr="000F4823">
              <w:rPr>
                <w:bCs/>
              </w:rPr>
              <w:t>тел</w:t>
            </w:r>
            <w:r w:rsidR="005C6DCB" w:rsidRPr="00853EE5">
              <w:rPr>
                <w:bCs/>
              </w:rPr>
              <w:t>. + 7 (347)</w:t>
            </w:r>
            <w:r w:rsidR="00FA7C45" w:rsidRPr="00853EE5">
              <w:rPr>
                <w:bCs/>
              </w:rPr>
              <w:t xml:space="preserve"> </w:t>
            </w:r>
            <w:r w:rsidR="005C6DCB" w:rsidRPr="00853EE5">
              <w:rPr>
                <w:bCs/>
              </w:rPr>
              <w:t>276</w:t>
            </w:r>
            <w:r w:rsidR="00FA7C45" w:rsidRPr="00853EE5">
              <w:rPr>
                <w:bCs/>
              </w:rPr>
              <w:t>-</w:t>
            </w:r>
            <w:r w:rsidR="005C6DCB" w:rsidRPr="00853EE5">
              <w:rPr>
                <w:bCs/>
              </w:rPr>
              <w:t>72</w:t>
            </w:r>
            <w:r w:rsidR="00FA7C45" w:rsidRPr="00853EE5">
              <w:rPr>
                <w:bCs/>
              </w:rPr>
              <w:t>-</w:t>
            </w:r>
            <w:r w:rsidR="005C6DCB" w:rsidRPr="00853EE5">
              <w:rPr>
                <w:bCs/>
              </w:rPr>
              <w:t xml:space="preserve">36, </w:t>
            </w:r>
            <w:r w:rsidR="005C6DCB">
              <w:rPr>
                <w:bCs/>
                <w:lang w:val="en-US"/>
              </w:rPr>
              <w:t>e</w:t>
            </w:r>
            <w:r w:rsidR="005C6DCB" w:rsidRPr="00853EE5">
              <w:rPr>
                <w:bCs/>
              </w:rPr>
              <w:t>-</w:t>
            </w:r>
            <w:r w:rsidR="005C6DCB">
              <w:rPr>
                <w:bCs/>
                <w:lang w:val="en-US"/>
              </w:rPr>
              <w:t>mail</w:t>
            </w:r>
            <w:r w:rsidR="005C6DCB" w:rsidRPr="00853EE5">
              <w:rPr>
                <w:bCs/>
              </w:rPr>
              <w:t>:</w:t>
            </w:r>
            <w:hyperlink r:id="rId17" w:history="1">
              <w:r w:rsidRPr="00853EE5">
                <w:rPr>
                  <w:rStyle w:val="a3"/>
                  <w:bCs/>
                </w:rPr>
                <w:t xml:space="preserve"> </w:t>
              </w:r>
              <w:r w:rsidRPr="000F4823">
                <w:rPr>
                  <w:rStyle w:val="a3"/>
                  <w:bCs/>
                  <w:lang w:val="en-US"/>
                </w:rPr>
                <w:t>e</w:t>
              </w:r>
              <w:r w:rsidRPr="00853EE5">
                <w:rPr>
                  <w:rStyle w:val="a3"/>
                  <w:bCs/>
                </w:rPr>
                <w:t>.</w:t>
              </w:r>
              <w:r w:rsidRPr="000F4823">
                <w:rPr>
                  <w:rStyle w:val="a3"/>
                  <w:bCs/>
                  <w:lang w:val="en-US"/>
                </w:rPr>
                <w:t>farrahova</w:t>
              </w:r>
              <w:r w:rsidRPr="00853EE5">
                <w:rPr>
                  <w:rStyle w:val="a3"/>
                  <w:bCs/>
                </w:rPr>
                <w:t>@</w:t>
              </w:r>
              <w:r w:rsidRPr="000F4823">
                <w:rPr>
                  <w:rStyle w:val="a3"/>
                  <w:bCs/>
                  <w:lang w:val="en-US"/>
                </w:rPr>
                <w:t>bashtel</w:t>
              </w:r>
              <w:r w:rsidRPr="00853EE5">
                <w:rPr>
                  <w:rStyle w:val="a3"/>
                  <w:bCs/>
                </w:rPr>
                <w:t>.</w:t>
              </w:r>
              <w:proofErr w:type="spellStart"/>
              <w:r w:rsidRPr="000F4823">
                <w:rPr>
                  <w:rStyle w:val="a3"/>
                  <w:bCs/>
                  <w:lang w:val="en-US"/>
                </w:rPr>
                <w:t>ru</w:t>
              </w:r>
              <w:proofErr w:type="spellEnd"/>
            </w:hyperlink>
          </w:p>
          <w:p w:rsidR="004739F3" w:rsidRPr="00853EE5"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5C21C7" w:rsidRPr="00BE5B5C" w:rsidRDefault="005C21C7" w:rsidP="005C21C7">
            <w:pPr>
              <w:autoSpaceDE w:val="0"/>
              <w:autoSpaceDN w:val="0"/>
              <w:adjustRightInd w:val="0"/>
              <w:rPr>
                <w:rFonts w:eastAsia="Calibri"/>
                <w:iCs/>
                <w:color w:val="000000"/>
              </w:rPr>
            </w:pPr>
            <w:r>
              <w:rPr>
                <w:rFonts w:eastAsia="Calibri"/>
                <w:iCs/>
                <w:color w:val="000000"/>
              </w:rPr>
              <w:t xml:space="preserve">Бурмистров Станислав </w:t>
            </w:r>
            <w:r w:rsidRPr="00BE5B5C">
              <w:rPr>
                <w:rFonts w:eastAsia="Calibri"/>
                <w:iCs/>
                <w:color w:val="000000"/>
              </w:rPr>
              <w:t>Анатольевич</w:t>
            </w:r>
          </w:p>
          <w:p w:rsidR="0014229A" w:rsidRPr="00400566" w:rsidRDefault="005C21C7" w:rsidP="005C21C7">
            <w:pPr>
              <w:pStyle w:val="Default"/>
            </w:pPr>
            <w:r w:rsidRPr="00BE5B5C">
              <w:rPr>
                <w:bCs/>
              </w:rPr>
              <w:t>тел</w:t>
            </w:r>
            <w:r w:rsidRPr="00400566">
              <w:rPr>
                <w:bCs/>
              </w:rPr>
              <w:t xml:space="preserve">. + 7 (347) 221-56-97 </w:t>
            </w:r>
            <w:r w:rsidRPr="00BE5B5C">
              <w:rPr>
                <w:bCs/>
                <w:lang w:val="en-US"/>
              </w:rPr>
              <w:t>e</w:t>
            </w:r>
            <w:r w:rsidRPr="00400566">
              <w:rPr>
                <w:bCs/>
              </w:rPr>
              <w:t>-</w:t>
            </w:r>
            <w:r w:rsidRPr="00BE5B5C">
              <w:rPr>
                <w:bCs/>
                <w:lang w:val="en-US"/>
              </w:rPr>
              <w:t>mail</w:t>
            </w:r>
            <w:r w:rsidRPr="00400566">
              <w:rPr>
                <w:bCs/>
              </w:rPr>
              <w:t>:</w:t>
            </w:r>
            <w:r w:rsidRPr="00400566">
              <w:rPr>
                <w:rFonts w:eastAsia="Times New Roman"/>
                <w:color w:val="777777"/>
                <w:lang w:eastAsia="ru-RU"/>
              </w:rPr>
              <w:t xml:space="preserve"> </w:t>
            </w:r>
            <w:hyperlink r:id="rId18" w:history="1">
              <w:r w:rsidRPr="00BE5B5C">
                <w:rPr>
                  <w:rStyle w:val="a3"/>
                  <w:lang w:val="en-US"/>
                </w:rPr>
                <w:t>s</w:t>
              </w:r>
              <w:r w:rsidRPr="00400566">
                <w:rPr>
                  <w:rStyle w:val="a3"/>
                </w:rPr>
                <w:t>.</w:t>
              </w:r>
              <w:r w:rsidRPr="00BE5B5C">
                <w:rPr>
                  <w:rStyle w:val="a3"/>
                  <w:lang w:val="en-US"/>
                </w:rPr>
                <w:t>burmistrov</w:t>
              </w:r>
              <w:r w:rsidRPr="00400566">
                <w:rPr>
                  <w:rStyle w:val="a3"/>
                </w:rPr>
                <w:t>@</w:t>
              </w:r>
              <w:r w:rsidRPr="00BE5B5C">
                <w:rPr>
                  <w:rStyle w:val="a3"/>
                  <w:lang w:val="en-US"/>
                </w:rPr>
                <w:t>bashtel</w:t>
              </w:r>
              <w:r w:rsidRPr="00400566">
                <w:rPr>
                  <w:rStyle w:val="a3"/>
                </w:rPr>
                <w:t>.</w:t>
              </w:r>
              <w:proofErr w:type="spellStart"/>
              <w:r w:rsidRPr="00BE5B5C">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0056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A7C45">
            <w:r>
              <w:t>«</w:t>
            </w:r>
            <w:r w:rsidR="00FA7C45">
              <w:t>09</w:t>
            </w:r>
            <w:r w:rsidR="0014229A" w:rsidRPr="005C24A0">
              <w:t>»</w:t>
            </w:r>
            <w:r>
              <w:rPr>
                <w:lang w:val="en-US"/>
              </w:rPr>
              <w:t xml:space="preserve"> </w:t>
            </w:r>
            <w:r w:rsidR="00FA7C45">
              <w:t>дека</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FA7C45">
              <w:t>09</w:t>
            </w:r>
            <w:r w:rsidRPr="0078652E">
              <w:t xml:space="preserve">» </w:t>
            </w:r>
            <w:r w:rsidR="00FA7C45">
              <w:t>дека</w:t>
            </w:r>
            <w:r w:rsidRPr="0078652E">
              <w:t>бря 2015 г. в 1</w:t>
            </w:r>
            <w:r w:rsidR="0081021F">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FA7C45">
              <w:t>17</w:t>
            </w:r>
            <w:r w:rsidRPr="0078652E">
              <w:t xml:space="preserve">» </w:t>
            </w:r>
            <w:r w:rsidR="005C21C7">
              <w:t>дека</w:t>
            </w:r>
            <w:r w:rsidRPr="0078652E">
              <w:t>бря 2015 года в 1</w:t>
            </w:r>
            <w:r w:rsidR="005C21C7">
              <w:t>0</w:t>
            </w:r>
            <w:r w:rsidRPr="0078652E">
              <w:t xml:space="preserve"> часов 00 минут по времени сервера </w:t>
            </w:r>
            <w:r w:rsidRPr="0078652E">
              <w:lastRenderedPageBreak/>
              <w:t xml:space="preserve">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FA7C45" w:rsidP="005C21C7">
            <w:pPr>
              <w:rPr>
                <w:highlight w:val="lightGray"/>
              </w:rPr>
            </w:pPr>
            <w:r>
              <w:t>«17</w:t>
            </w:r>
            <w:r w:rsidR="005E58BA" w:rsidRPr="004739F3">
              <w:t>»</w:t>
            </w:r>
            <w:r w:rsidR="005E58BA" w:rsidRPr="00607E86">
              <w:t xml:space="preserve"> </w:t>
            </w:r>
            <w:r w:rsidR="005C21C7">
              <w:t>дека</w:t>
            </w:r>
            <w:r w:rsidR="005E58BA">
              <w:t>бря</w:t>
            </w:r>
            <w:r w:rsidR="005E58BA" w:rsidRPr="00607E86">
              <w:t xml:space="preserve"> 20</w:t>
            </w:r>
            <w:r w:rsidR="005E58BA">
              <w:t>15</w:t>
            </w:r>
            <w:r w:rsidR="005E58BA" w:rsidRPr="00607E86">
              <w:t xml:space="preserve"> года </w:t>
            </w:r>
            <w:r w:rsidR="005E58BA">
              <w:t xml:space="preserve">в </w:t>
            </w:r>
            <w:r w:rsidR="0078652E">
              <w:t>1</w:t>
            </w:r>
            <w:r w:rsidR="005C21C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FA7C45">
              <w:t>21</w:t>
            </w:r>
            <w:r w:rsidRPr="000F4823">
              <w:t xml:space="preserve">» </w:t>
            </w:r>
            <w:r w:rsidR="005C21C7">
              <w:t>дека</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FA7C45">
              <w:t>21</w:t>
            </w:r>
            <w:r w:rsidRPr="000F4823">
              <w:t xml:space="preserve">» </w:t>
            </w:r>
            <w:r w:rsidR="005C21C7">
              <w:t>дека</w:t>
            </w:r>
            <w:r w:rsidRPr="000F4823">
              <w:t>бря 2015 года в 1</w:t>
            </w:r>
            <w:r w:rsidR="00C82153">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FA7C45">
              <w:t>25</w:t>
            </w:r>
            <w:r w:rsidRPr="000F4823">
              <w:t xml:space="preserve">» </w:t>
            </w:r>
            <w:r w:rsidR="005C21C7">
              <w:t>дека</w:t>
            </w:r>
            <w:r w:rsidRPr="000F4823">
              <w:t xml:space="preserve">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A7C45" w:rsidRPr="00607E86" w:rsidRDefault="00FA7C45" w:rsidP="00FA7C45">
            <w:pPr>
              <w:autoSpaceDE w:val="0"/>
              <w:autoSpaceDN w:val="0"/>
              <w:adjustRightInd w:val="0"/>
              <w:jc w:val="both"/>
              <w:rPr>
                <w:rFonts w:eastAsia="Calibri"/>
                <w:b/>
                <w:iCs/>
                <w:color w:val="000000"/>
              </w:rPr>
            </w:pPr>
            <w:r w:rsidRPr="00607E86">
              <w:rPr>
                <w:rFonts w:eastAsia="Calibri"/>
                <w:b/>
                <w:iCs/>
                <w:color w:val="000000"/>
              </w:rPr>
              <w:t>Лот № 1</w:t>
            </w:r>
          </w:p>
          <w:p w:rsidR="00FA7C45" w:rsidRDefault="00FA7C45" w:rsidP="00FA7C45">
            <w:pPr>
              <w:autoSpaceDE w:val="0"/>
              <w:autoSpaceDN w:val="0"/>
              <w:adjustRightInd w:val="0"/>
              <w:jc w:val="both"/>
            </w:pPr>
            <w:r w:rsidRPr="00911A39">
              <w:rPr>
                <w:b/>
              </w:rPr>
              <w:t>Оказание услуг по охране объектов</w:t>
            </w:r>
            <w:r>
              <w:rPr>
                <w:b/>
              </w:rPr>
              <w:t>.</w:t>
            </w:r>
          </w:p>
          <w:p w:rsidR="0014229A" w:rsidRPr="00227C39" w:rsidRDefault="00FA7C45" w:rsidP="00FA7C45">
            <w:pPr>
              <w:pStyle w:val="Default"/>
              <w:jc w:val="both"/>
              <w:rPr>
                <w:iCs/>
              </w:rPr>
            </w:pPr>
            <w:r>
              <w:rPr>
                <w:lang w:eastAsia="ru-RU"/>
              </w:rPr>
              <w:t xml:space="preserve">      </w:t>
            </w:r>
            <w:r>
              <w:rPr>
                <w:rFonts w:eastAsia="Times New Roman"/>
                <w:lang w:eastAsia="ru-RU"/>
              </w:rPr>
              <w:t>Состав,</w:t>
            </w:r>
            <w:r w:rsidRPr="00BE2DAA">
              <w:rPr>
                <w:rFonts w:eastAsia="Times New Roman"/>
                <w:lang w:eastAsia="ru-RU"/>
              </w:rPr>
              <w:t xml:space="preserve"> объем </w:t>
            </w:r>
            <w:r w:rsidRPr="00DE5967">
              <w:rPr>
                <w:rFonts w:eastAsia="Times New Roman"/>
                <w:lang w:eastAsia="ru-RU"/>
              </w:rPr>
              <w:t xml:space="preserve">работ и иные требования к </w:t>
            </w:r>
            <w:r>
              <w:rPr>
                <w:rFonts w:eastAsia="Times New Roman"/>
                <w:lang w:eastAsia="ru-RU"/>
              </w:rPr>
              <w:t>услугам</w:t>
            </w:r>
            <w:r w:rsidRPr="00DE5967">
              <w:rPr>
                <w:rFonts w:eastAsia="Times New Roman"/>
                <w:lang w:eastAsia="ru-RU"/>
              </w:rPr>
              <w:t xml:space="preserve"> определяются Техническим заданием (Приложение №</w:t>
            </w:r>
            <w:r>
              <w:rPr>
                <w:rFonts w:eastAsia="Times New Roman"/>
                <w:lang w:eastAsia="ru-RU"/>
              </w:rPr>
              <w:t>1.1</w:t>
            </w:r>
            <w:r w:rsidRPr="00DE5967">
              <w:rPr>
                <w:rFonts w:eastAsia="Times New Roman"/>
                <w:lang w:eastAsia="ru-RU"/>
              </w:rPr>
              <w:t xml:space="preserve"> к </w:t>
            </w:r>
            <w:r>
              <w:rPr>
                <w:rFonts w:eastAsia="Times New Roman"/>
                <w:lang w:eastAsia="ru-RU"/>
              </w:rPr>
              <w:t xml:space="preserve">настоящему </w:t>
            </w:r>
            <w:r w:rsidRPr="00DE5967">
              <w:rPr>
                <w:rFonts w:eastAsia="Times New Roman"/>
                <w:lang w:eastAsia="ru-RU"/>
              </w:rPr>
              <w:t>Извещению)</w:t>
            </w:r>
            <w:r>
              <w:rPr>
                <w:rFonts w:eastAsia="Times New Roman"/>
                <w:lang w:eastAsia="ru-RU"/>
              </w:rPr>
              <w:t xml:space="preserve">, спецификацией </w:t>
            </w:r>
            <w:r w:rsidRPr="00DE5967">
              <w:rPr>
                <w:rFonts w:eastAsia="Times New Roman"/>
                <w:lang w:eastAsia="ru-RU"/>
              </w:rPr>
              <w:t>(Приложение №</w:t>
            </w:r>
            <w:r>
              <w:rPr>
                <w:rFonts w:eastAsia="Times New Roman"/>
                <w:lang w:eastAsia="ru-RU"/>
              </w:rPr>
              <w:t>1.2</w:t>
            </w:r>
            <w:r w:rsidRPr="00DE5967">
              <w:rPr>
                <w:rFonts w:eastAsia="Times New Roman"/>
                <w:lang w:eastAsia="ru-RU"/>
              </w:rPr>
              <w:t xml:space="preserve"> к </w:t>
            </w:r>
            <w:r>
              <w:rPr>
                <w:rFonts w:eastAsia="Times New Roman"/>
                <w:lang w:eastAsia="ru-RU"/>
              </w:rPr>
              <w:t xml:space="preserve">настоящему </w:t>
            </w:r>
            <w:r w:rsidRPr="00DE5967">
              <w:rPr>
                <w:rFonts w:eastAsia="Times New Roman"/>
                <w:lang w:eastAsia="ru-RU"/>
              </w:rPr>
              <w:t>Извещению) 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39385A">
              <w:lastRenderedPageBreak/>
              <w:t>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A7C45" w:rsidP="00FA7C45">
            <w:pPr>
              <w:jc w:val="both"/>
            </w:pPr>
            <w:r w:rsidRPr="00E30754">
              <w:rPr>
                <w:color w:val="000000"/>
              </w:rPr>
              <w:lastRenderedPageBreak/>
              <w:t xml:space="preserve">Оказываемые услуги </w:t>
            </w:r>
            <w:r w:rsidRPr="00E30754">
              <w:t>должны соответствовать техническим и функциональным требованиям, предъявляемым к данным видам услуг, требования к услугам определяются условиями Технического задания (Приложение № 1</w:t>
            </w:r>
            <w:r>
              <w:t>.1</w:t>
            </w:r>
            <w:r w:rsidRPr="00E30754">
              <w:t xml:space="preserve"> к настоящему Извещению)</w:t>
            </w:r>
            <w:r>
              <w:t xml:space="preserve">, </w:t>
            </w:r>
            <w:r w:rsidRPr="00E30754">
              <w:t xml:space="preserve"> </w:t>
            </w:r>
            <w:r>
              <w:t xml:space="preserve">спецификации </w:t>
            </w:r>
            <w:r w:rsidRPr="00DE5967">
              <w:t>(Приложение №</w:t>
            </w:r>
            <w:r>
              <w:t>1.2</w:t>
            </w:r>
            <w:r w:rsidRPr="00DE5967">
              <w:t xml:space="preserve"> к </w:t>
            </w:r>
            <w:r>
              <w:t xml:space="preserve">настоящему </w:t>
            </w:r>
            <w:r w:rsidRPr="00DE5967">
              <w:t>Извещению</w:t>
            </w:r>
            <w:proofErr w:type="gramStart"/>
            <w:r w:rsidRPr="00DE5967">
              <w:t>)</w:t>
            </w:r>
            <w:r w:rsidRPr="00E30754">
              <w:t>и</w:t>
            </w:r>
            <w:proofErr w:type="gramEnd"/>
            <w:r w:rsidRPr="00E30754">
              <w:t xml:space="preserve"> Проекта договора (Приложение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A7C45" w:rsidRDefault="00FA7C45" w:rsidP="00FA7C45">
            <w:pPr>
              <w:autoSpaceDE w:val="0"/>
              <w:autoSpaceDN w:val="0"/>
              <w:adjustRightInd w:val="0"/>
              <w:jc w:val="both"/>
              <w:rPr>
                <w:iCs/>
              </w:rPr>
            </w:pPr>
            <w:r w:rsidRPr="000A27C1">
              <w:rPr>
                <w:iCs/>
              </w:rPr>
              <w:t>Лот № 1</w:t>
            </w:r>
          </w:p>
          <w:p w:rsidR="00FA7C45" w:rsidRPr="000A27C1" w:rsidRDefault="00FA7C45" w:rsidP="00FA7C45">
            <w:pPr>
              <w:autoSpaceDE w:val="0"/>
              <w:autoSpaceDN w:val="0"/>
              <w:adjustRightInd w:val="0"/>
              <w:jc w:val="both"/>
              <w:rPr>
                <w:iCs/>
              </w:rPr>
            </w:pPr>
            <w:r>
              <w:rPr>
                <w:iCs/>
              </w:rPr>
              <w:t>6 523 769,76 (Шесть миллионов пятьсот двадцать три тысячи семьсот шестьдесят девять) рублей 76 коп</w:t>
            </w:r>
            <w:proofErr w:type="gramStart"/>
            <w:r>
              <w:rPr>
                <w:iCs/>
              </w:rPr>
              <w:t>.</w:t>
            </w:r>
            <w:r w:rsidR="00853EE5">
              <w:rPr>
                <w:iCs/>
              </w:rPr>
              <w:t xml:space="preserve">, </w:t>
            </w:r>
            <w:proofErr w:type="gramEnd"/>
            <w:r w:rsidR="00853EE5">
              <w:rPr>
                <w:iCs/>
              </w:rPr>
              <w:t>без НДС.</w:t>
            </w:r>
            <w:r>
              <w:rPr>
                <w:iCs/>
              </w:rPr>
              <w:t xml:space="preserve"> </w:t>
            </w:r>
          </w:p>
          <w:p w:rsidR="00FA7C45" w:rsidRPr="00AA5094" w:rsidRDefault="00FA7C45" w:rsidP="00FA7C45">
            <w:pPr>
              <w:autoSpaceDE w:val="0"/>
              <w:autoSpaceDN w:val="0"/>
              <w:adjustRightInd w:val="0"/>
              <w:jc w:val="both"/>
              <w:rPr>
                <w:iCs/>
              </w:rPr>
            </w:pPr>
            <w:r>
              <w:rPr>
                <w:iCs/>
              </w:rPr>
              <w:t>7 698 048,32</w:t>
            </w:r>
            <w:r w:rsidRPr="000A27C1">
              <w:rPr>
                <w:iCs/>
              </w:rPr>
              <w:t xml:space="preserve">  </w:t>
            </w:r>
            <w:r>
              <w:rPr>
                <w:iCs/>
              </w:rPr>
              <w:t>(Семь миллионов шестьсот девяносто восемь тысяч сорок восемь) рублей 32 коп</w:t>
            </w:r>
            <w:proofErr w:type="gramStart"/>
            <w:r>
              <w:rPr>
                <w:iCs/>
              </w:rPr>
              <w:t>.</w:t>
            </w:r>
            <w:proofErr w:type="gramEnd"/>
            <w:r>
              <w:rPr>
                <w:iCs/>
              </w:rPr>
              <w:t xml:space="preserve"> </w:t>
            </w:r>
            <w:proofErr w:type="gramStart"/>
            <w:r>
              <w:rPr>
                <w:iCs/>
              </w:rPr>
              <w:t>с</w:t>
            </w:r>
            <w:proofErr w:type="gramEnd"/>
            <w:r>
              <w:rPr>
                <w:iCs/>
              </w:rPr>
              <w:t xml:space="preserve"> учетом НДС (18%), в</w:t>
            </w:r>
            <w:r w:rsidRPr="000A27C1">
              <w:rPr>
                <w:iCs/>
              </w:rPr>
              <w:t xml:space="preserve"> том числе сумма НДС (18%) </w:t>
            </w:r>
            <w:r>
              <w:rPr>
                <w:iCs/>
              </w:rPr>
              <w:t>1 174 278,56</w:t>
            </w:r>
            <w:r w:rsidRPr="000A27C1">
              <w:rPr>
                <w:iCs/>
              </w:rPr>
              <w:t xml:space="preserve"> рублей.</w:t>
            </w:r>
            <w:r w:rsidRPr="00AA5094">
              <w:rPr>
                <w:iCs/>
              </w:rPr>
              <w:t xml:space="preserve"> </w:t>
            </w:r>
          </w:p>
          <w:p w:rsidR="00FA7C45" w:rsidRPr="00AA5094" w:rsidRDefault="00FA7C45" w:rsidP="00FA7C45">
            <w:pPr>
              <w:autoSpaceDE w:val="0"/>
              <w:autoSpaceDN w:val="0"/>
              <w:adjustRightInd w:val="0"/>
              <w:jc w:val="both"/>
              <w:rPr>
                <w:iCs/>
              </w:rPr>
            </w:pPr>
            <w:r w:rsidRPr="00AA5094">
              <w:rPr>
                <w:iCs/>
              </w:rPr>
              <w:t>Цена за единицу измерения</w:t>
            </w:r>
            <w:r>
              <w:rPr>
                <w:iCs/>
              </w:rPr>
              <w:t xml:space="preserve"> (стоимость охраны объектов)</w:t>
            </w:r>
            <w:r w:rsidRPr="00AA5094">
              <w:rPr>
                <w:iCs/>
              </w:rPr>
              <w:t xml:space="preserve">, предложенная претендентом на участие в запросе предложений, не должна превышать </w:t>
            </w:r>
            <w:r>
              <w:rPr>
                <w:iCs/>
              </w:rPr>
              <w:t xml:space="preserve">максимальную </w:t>
            </w:r>
            <w:r w:rsidRPr="00AA5094">
              <w:rPr>
                <w:iCs/>
              </w:rPr>
              <w:t>стоимость за единицу измерения</w:t>
            </w:r>
            <w:r>
              <w:rPr>
                <w:iCs/>
              </w:rPr>
              <w:t xml:space="preserve"> (стоимость охраны объектов)</w:t>
            </w:r>
            <w:r w:rsidRPr="00AA5094">
              <w:rPr>
                <w:iCs/>
              </w:rPr>
              <w:t>, указанную в Спецификации (Приложение № 1</w:t>
            </w:r>
            <w:r>
              <w:rPr>
                <w:iCs/>
              </w:rPr>
              <w:t>.2</w:t>
            </w:r>
            <w:r w:rsidRPr="00AA5094">
              <w:rPr>
                <w:iCs/>
              </w:rPr>
              <w:t xml:space="preserve"> к настоящему Извещению).</w:t>
            </w:r>
          </w:p>
          <w:p w:rsidR="00EB04A4" w:rsidRDefault="00FA7C45" w:rsidP="00FA7C45">
            <w:pPr>
              <w:autoSpaceDE w:val="0"/>
              <w:autoSpaceDN w:val="0"/>
              <w:adjustRightInd w:val="0"/>
              <w:jc w:val="both"/>
              <w:rPr>
                <w:rFonts w:eastAsia="Calibri"/>
                <w:b/>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14229A" w:rsidP="00EB04A4">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D15EFF" w:rsidRDefault="000F4823" w:rsidP="003B25CB">
                  <w:pPr>
                    <w:autoSpaceDE w:val="0"/>
                    <w:autoSpaceDN w:val="0"/>
                    <w:adjustRightInd w:val="0"/>
                    <w:ind w:firstLine="204"/>
                    <w:jc w:val="both"/>
                    <w:rPr>
                      <w:rFonts w:cs="Arial"/>
                      <w:color w:val="000000"/>
                    </w:rPr>
                  </w:pPr>
                  <w:r w:rsidRPr="00D15EFF">
                    <w:rPr>
                      <w:rFonts w:cs="Arial"/>
                      <w:color w:val="000000"/>
                    </w:rPr>
                    <w:t>6</w:t>
                  </w:r>
                  <w:r w:rsidR="0014229A" w:rsidRPr="00D15EFF">
                    <w:rPr>
                      <w:rFonts w:cs="Arial"/>
                      <w:color w:val="000000"/>
                    </w:rPr>
                    <w:t xml:space="preserve">. Отсутствие сведений об Участнике закупки </w:t>
                  </w:r>
                  <w:r w:rsidR="0014229A" w:rsidRPr="00D15EFF">
                    <w:rPr>
                      <w:rFonts w:eastAsia="Calibri" w:cs="Arial"/>
                      <w:color w:val="000000"/>
                    </w:rPr>
                    <w:t xml:space="preserve">в реестре недобросовестных поставщиков, предусмотренном Федеральным законом                              от 5 апреля </w:t>
                  </w:r>
                  <w:r w:rsidR="0014229A" w:rsidRPr="00D15EFF">
                    <w:rPr>
                      <w:rFonts w:eastAsia="Calibri" w:cs="Arial"/>
                      <w:color w:val="000000"/>
                    </w:rPr>
                    <w:lastRenderedPageBreak/>
                    <w:t>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D15EFF" w:rsidRDefault="0014229A" w:rsidP="003B25CB">
                  <w:pPr>
                    <w:jc w:val="both"/>
                    <w:rPr>
                      <w:rFonts w:cs="Arial"/>
                      <w:color w:val="000000"/>
                    </w:rPr>
                  </w:pPr>
                  <w:r w:rsidRPr="00D15EFF">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9C30CA" w:rsidRPr="00F84878" w:rsidRDefault="009C30CA" w:rsidP="009C30CA">
            <w:pPr>
              <w:jc w:val="both"/>
              <w:rPr>
                <w:b/>
              </w:rPr>
            </w:pPr>
            <w:r w:rsidRPr="00F84878">
              <w:rPr>
                <w:b/>
              </w:rPr>
              <w:t>Дополнительные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668"/>
            </w:tblGrid>
            <w:tr w:rsidR="009C30CA" w:rsidRPr="00F84878" w:rsidTr="00FA7C45">
              <w:tc>
                <w:tcPr>
                  <w:tcW w:w="3760" w:type="dxa"/>
                  <w:shd w:val="clear" w:color="auto" w:fill="auto"/>
                </w:tcPr>
                <w:p w:rsidR="009C30CA" w:rsidRPr="00F84878" w:rsidRDefault="009C30CA" w:rsidP="00FA7C45">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68" w:type="dxa"/>
                  <w:shd w:val="clear" w:color="auto" w:fill="auto"/>
                </w:tcPr>
                <w:p w:rsidR="009C30CA" w:rsidRPr="00F84878" w:rsidRDefault="009C30CA" w:rsidP="00FA7C45">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9C30CA" w:rsidRPr="00F84878" w:rsidTr="00FA7C45">
              <w:tc>
                <w:tcPr>
                  <w:tcW w:w="3760" w:type="dxa"/>
                  <w:shd w:val="clear" w:color="auto" w:fill="auto"/>
                </w:tcPr>
                <w:p w:rsidR="009C30CA" w:rsidRPr="00F4135C" w:rsidRDefault="00D15EFF" w:rsidP="00FA7C45">
                  <w:pPr>
                    <w:tabs>
                      <w:tab w:val="left" w:pos="18"/>
                    </w:tabs>
                    <w:ind w:left="81"/>
                    <w:jc w:val="both"/>
                  </w:pPr>
                  <w:r>
                    <w:t>1.</w:t>
                  </w:r>
                  <w:r w:rsidR="00F4135C" w:rsidRPr="00F4135C">
                    <w:t>Наличие у участника закупки, установленного нормами законодательства</w:t>
                  </w:r>
                  <w:r w:rsidR="005A200A">
                    <w:t>,</w:t>
                  </w:r>
                  <w:r w:rsidR="00F4135C" w:rsidRPr="00F4135C">
                    <w:t xml:space="preserve"> права на осуществление охранной деятельности, наличие действующей лицензии, выданной органами внутренних дел на осуществление частной охранной деятельности</w:t>
                  </w:r>
                </w:p>
                <w:p w:rsidR="009C30CA" w:rsidRPr="00F4135C" w:rsidRDefault="009C30CA" w:rsidP="00FA7C45">
                  <w:pPr>
                    <w:tabs>
                      <w:tab w:val="left" w:pos="18"/>
                    </w:tabs>
                    <w:ind w:left="81"/>
                    <w:jc w:val="both"/>
                    <w:rPr>
                      <w:rFonts w:cs="Arial"/>
                      <w:b/>
                      <w:i/>
                      <w:color w:val="FF0000"/>
                      <w:highlight w:val="cyan"/>
                    </w:rPr>
                  </w:pPr>
                </w:p>
              </w:tc>
              <w:tc>
                <w:tcPr>
                  <w:tcW w:w="3668" w:type="dxa"/>
                  <w:shd w:val="clear" w:color="auto" w:fill="auto"/>
                </w:tcPr>
                <w:p w:rsidR="00F4135C" w:rsidRPr="00860923" w:rsidRDefault="00F4135C" w:rsidP="00F4135C">
                  <w:pPr>
                    <w:pStyle w:val="a4"/>
                    <w:tabs>
                      <w:tab w:val="left" w:pos="1134"/>
                    </w:tabs>
                    <w:ind w:left="271"/>
                    <w:jc w:val="both"/>
                  </w:pPr>
                  <w:r w:rsidRPr="00860923">
                    <w:t>Заверенн</w:t>
                  </w:r>
                  <w:r>
                    <w:t>ая</w:t>
                  </w:r>
                  <w:r w:rsidRPr="00860923">
                    <w:t xml:space="preserve"> копи</w:t>
                  </w:r>
                  <w:r>
                    <w:t>я</w:t>
                  </w:r>
                  <w:r w:rsidRPr="00860923">
                    <w:rPr>
                      <w:color w:val="000000"/>
                    </w:rPr>
                    <w:t xml:space="preserve"> действующей лицензии (разрешения),</w:t>
                  </w:r>
                </w:p>
                <w:p w:rsidR="009C30CA" w:rsidRPr="001964F8" w:rsidRDefault="00F4135C" w:rsidP="00F4135C">
                  <w:pPr>
                    <w:widowControl w:val="0"/>
                    <w:tabs>
                      <w:tab w:val="left" w:pos="18"/>
                    </w:tabs>
                    <w:autoSpaceDE w:val="0"/>
                    <w:autoSpaceDN w:val="0"/>
                    <w:adjustRightInd w:val="0"/>
                    <w:ind w:left="271"/>
                    <w:jc w:val="both"/>
                    <w:outlineLvl w:val="1"/>
                  </w:pPr>
                  <w:r w:rsidRPr="00860923">
                    <w:t>выданной органами внутренних дел на осуществление частной охранной деятельности</w:t>
                  </w:r>
                  <w:r w:rsidR="009C30CA" w:rsidRPr="001964F8">
                    <w:t xml:space="preserve"> </w:t>
                  </w:r>
                </w:p>
                <w:p w:rsidR="009C30CA" w:rsidRPr="009A021A" w:rsidRDefault="009C30CA" w:rsidP="00FA7C45">
                  <w:pPr>
                    <w:widowControl w:val="0"/>
                    <w:tabs>
                      <w:tab w:val="left" w:pos="18"/>
                    </w:tabs>
                    <w:autoSpaceDE w:val="0"/>
                    <w:autoSpaceDN w:val="0"/>
                    <w:adjustRightInd w:val="0"/>
                    <w:ind w:left="284"/>
                    <w:jc w:val="both"/>
                    <w:outlineLvl w:val="1"/>
                  </w:pPr>
                  <w:r>
                    <w:t xml:space="preserve">      </w:t>
                  </w:r>
                </w:p>
              </w:tc>
            </w:tr>
            <w:tr w:rsidR="005A200A" w:rsidRPr="00F84878" w:rsidTr="00FA7C45">
              <w:tc>
                <w:tcPr>
                  <w:tcW w:w="3760" w:type="dxa"/>
                  <w:shd w:val="clear" w:color="auto" w:fill="auto"/>
                </w:tcPr>
                <w:p w:rsidR="005A200A" w:rsidRDefault="005A200A" w:rsidP="00FA7C45">
                  <w:pPr>
                    <w:tabs>
                      <w:tab w:val="left" w:pos="18"/>
                    </w:tabs>
                    <w:ind w:left="81"/>
                    <w:jc w:val="both"/>
                  </w:pPr>
                  <w:r>
                    <w:t xml:space="preserve">2. </w:t>
                  </w:r>
                  <w:r w:rsidRPr="00F4135C">
                    <w:t>Наличие у участника закупки</w:t>
                  </w:r>
                  <w:r w:rsidRPr="0063793F">
                    <w:rPr>
                      <w:szCs w:val="28"/>
                    </w:rPr>
                    <w:t xml:space="preserve"> действующего разрешения на хранение и использования оружия и боеприпасов, выданное уполномоченным на то государственным органом</w:t>
                  </w:r>
                </w:p>
              </w:tc>
              <w:tc>
                <w:tcPr>
                  <w:tcW w:w="3668" w:type="dxa"/>
                  <w:shd w:val="clear" w:color="auto" w:fill="auto"/>
                </w:tcPr>
                <w:p w:rsidR="005A200A" w:rsidRPr="00860923" w:rsidRDefault="006E6A0F" w:rsidP="00F4135C">
                  <w:pPr>
                    <w:pStyle w:val="a4"/>
                    <w:tabs>
                      <w:tab w:val="left" w:pos="1134"/>
                    </w:tabs>
                    <w:ind w:left="271"/>
                    <w:jc w:val="both"/>
                  </w:pPr>
                  <w:r w:rsidRPr="006E6A0F">
                    <w:t>Заверенная копия</w:t>
                  </w:r>
                  <w:r>
                    <w:t xml:space="preserve"> </w:t>
                  </w:r>
                  <w:r w:rsidRPr="0063793F">
                    <w:rPr>
                      <w:szCs w:val="28"/>
                    </w:rPr>
                    <w:t>действующего разрешения на хранение и использования оружия и боеприпасов, выданное уполномоченным на то государственным органом</w:t>
                  </w:r>
                </w:p>
              </w:tc>
            </w:tr>
            <w:tr w:rsidR="009C30CA" w:rsidRPr="00F84878" w:rsidTr="00FA7C45">
              <w:tc>
                <w:tcPr>
                  <w:tcW w:w="3760" w:type="dxa"/>
                  <w:shd w:val="clear" w:color="auto" w:fill="auto"/>
                </w:tcPr>
                <w:p w:rsidR="009C30CA" w:rsidRPr="00F4135C" w:rsidRDefault="005A200A" w:rsidP="00FA7C45">
                  <w:pPr>
                    <w:tabs>
                      <w:tab w:val="left" w:pos="18"/>
                    </w:tabs>
                    <w:ind w:left="81"/>
                    <w:jc w:val="both"/>
                  </w:pPr>
                  <w:r>
                    <w:t>3</w:t>
                  </w:r>
                  <w:r w:rsidR="00D15EFF">
                    <w:t>.</w:t>
                  </w:r>
                  <w:r w:rsidR="00F4135C" w:rsidRPr="00F4135C">
                    <w:t xml:space="preserve">Наличие у участника закупки опыта охранной деятельности </w:t>
                  </w:r>
                  <w:r w:rsidR="008E654F" w:rsidRPr="00225117">
                    <w:t>(</w:t>
                  </w:r>
                  <w:r w:rsidR="008E654F">
                    <w:t>аналогичных предмету закупки</w:t>
                  </w:r>
                  <w:r w:rsidR="008E654F" w:rsidRPr="00225117">
                    <w:t xml:space="preserve">) </w:t>
                  </w:r>
                  <w:bookmarkStart w:id="16" w:name="_GoBack"/>
                  <w:bookmarkEnd w:id="16"/>
                  <w:r w:rsidR="00F4135C" w:rsidRPr="00F4135C">
                    <w:t xml:space="preserve"> не менее 2-х лет</w:t>
                  </w:r>
                </w:p>
              </w:tc>
              <w:tc>
                <w:tcPr>
                  <w:tcW w:w="3668" w:type="dxa"/>
                  <w:shd w:val="clear" w:color="auto" w:fill="auto"/>
                </w:tcPr>
                <w:p w:rsidR="009C30CA" w:rsidRPr="00113692" w:rsidRDefault="00D15EFF" w:rsidP="00FA7C45">
                  <w:pPr>
                    <w:widowControl w:val="0"/>
                    <w:autoSpaceDE w:val="0"/>
                    <w:autoSpaceDN w:val="0"/>
                    <w:adjustRightInd w:val="0"/>
                    <w:jc w:val="both"/>
                    <w:outlineLvl w:val="1"/>
                    <w:rPr>
                      <w:b/>
                    </w:rPr>
                  </w:pPr>
                  <w:r>
                    <w:rPr>
                      <w:b/>
                    </w:rPr>
                    <w:t xml:space="preserve">Информационное письмо, </w:t>
                  </w:r>
                  <w:r w:rsidRPr="00DB506B">
                    <w:t>по форме Приложения №7 к Извещению</w:t>
                  </w:r>
                </w:p>
              </w:tc>
            </w:tr>
            <w:tr w:rsidR="009C30CA" w:rsidRPr="00F84878" w:rsidTr="00FA7C45">
              <w:tc>
                <w:tcPr>
                  <w:tcW w:w="3760" w:type="dxa"/>
                  <w:shd w:val="clear" w:color="auto" w:fill="auto"/>
                </w:tcPr>
                <w:p w:rsidR="009C30CA" w:rsidRPr="00D15EFF" w:rsidRDefault="005A200A" w:rsidP="00F4135C">
                  <w:pPr>
                    <w:jc w:val="both"/>
                  </w:pPr>
                  <w:r>
                    <w:t>4</w:t>
                  </w:r>
                  <w:r w:rsidR="00D15EFF">
                    <w:t>.</w:t>
                  </w:r>
                  <w:r w:rsidR="00F4135C" w:rsidRPr="00D15EFF">
                    <w:t>Наличие у участника закупки  необходимого уровня квалификации, материальных и технических ресурсов в соо</w:t>
                  </w:r>
                  <w:r>
                    <w:t xml:space="preserve">тветствии с требованиями </w:t>
                  </w:r>
                  <w:proofErr w:type="spellStart"/>
                  <w:r>
                    <w:t>пп</w:t>
                  </w:r>
                  <w:proofErr w:type="spellEnd"/>
                  <w:r>
                    <w:t>. 1.4</w:t>
                  </w:r>
                  <w:r w:rsidR="00F4135C" w:rsidRPr="00D15EFF">
                    <w:t>-1.7 Технического задания (Приложение №1.1. к Извещению)</w:t>
                  </w:r>
                </w:p>
              </w:tc>
              <w:tc>
                <w:tcPr>
                  <w:tcW w:w="3668" w:type="dxa"/>
                  <w:shd w:val="clear" w:color="auto" w:fill="auto"/>
                </w:tcPr>
                <w:p w:rsidR="009C30CA" w:rsidRPr="00113692" w:rsidRDefault="00D15EFF" w:rsidP="00FA7C45">
                  <w:pPr>
                    <w:widowControl w:val="0"/>
                    <w:autoSpaceDE w:val="0"/>
                    <w:autoSpaceDN w:val="0"/>
                    <w:adjustRightInd w:val="0"/>
                    <w:jc w:val="both"/>
                    <w:outlineLvl w:val="1"/>
                    <w:rPr>
                      <w:b/>
                    </w:rPr>
                  </w:pPr>
                  <w:r>
                    <w:rPr>
                      <w:b/>
                    </w:rPr>
                    <w:t xml:space="preserve">Информационное письмо, </w:t>
                  </w:r>
                  <w:r w:rsidRPr="00DB506B">
                    <w:t>по форме Приложения №7 к Извещению</w:t>
                  </w:r>
                </w:p>
              </w:tc>
            </w:tr>
          </w:tbl>
          <w:p w:rsidR="009C30CA" w:rsidRDefault="009C30CA" w:rsidP="003B25CB">
            <w:pPr>
              <w:jc w:val="both"/>
              <w:rPr>
                <w:rFonts w:cs="Arial"/>
                <w:color w:val="00000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 xml:space="preserve">Порядок оценки и сопоставления Заявок, критерии оценки и сопоставления Заявок, величины значимости этих </w:t>
            </w:r>
            <w:r w:rsidRPr="0065239C">
              <w:lastRenderedPageBreak/>
              <w:t>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w:t>
                  </w:r>
                  <w:r w:rsidRPr="00561F9A">
                    <w:rPr>
                      <w:rFonts w:cs="Arial"/>
                      <w:color w:val="000000"/>
                    </w:rPr>
                    <w:lastRenderedPageBreak/>
                    <w:t>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lastRenderedPageBreak/>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lastRenderedPageBreak/>
                    <w:t>Цена договора (лота)</w:t>
                  </w:r>
                </w:p>
              </w:tc>
              <w:tc>
                <w:tcPr>
                  <w:tcW w:w="992" w:type="dxa"/>
                  <w:shd w:val="clear" w:color="auto" w:fill="auto"/>
                </w:tcPr>
                <w:p w:rsidR="0014229A" w:rsidRPr="006603A3" w:rsidRDefault="00A27D60" w:rsidP="00400566">
                  <w:pPr>
                    <w:pStyle w:val="a4"/>
                    <w:ind w:left="0"/>
                    <w:jc w:val="center"/>
                    <w:rPr>
                      <w:rFonts w:cs="Arial"/>
                      <w:color w:val="000000"/>
                    </w:rPr>
                  </w:pPr>
                  <w:r w:rsidRPr="006603A3">
                    <w:rPr>
                      <w:rFonts w:cs="Arial"/>
                      <w:color w:val="000000"/>
                    </w:rPr>
                    <w:t>9</w:t>
                  </w:r>
                  <w:r w:rsidR="00E53751">
                    <w:rPr>
                      <w:rFonts w:cs="Arial"/>
                      <w:color w:val="000000"/>
                    </w:rPr>
                    <w:t>5</w:t>
                  </w:r>
                  <w:r w:rsidR="00400566">
                    <w:rPr>
                      <w:rFonts w:cs="Arial"/>
                      <w:color w:val="000000"/>
                    </w:rPr>
                    <w:t xml:space="preserve"> %</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2B6897" w:rsidTr="00ED6883">
              <w:tc>
                <w:tcPr>
                  <w:tcW w:w="3459" w:type="dxa"/>
                  <w:shd w:val="clear" w:color="auto" w:fill="auto"/>
                </w:tcPr>
                <w:p w:rsidR="002B6897" w:rsidRPr="00225117" w:rsidRDefault="002B6897" w:rsidP="00225117">
                  <w:pPr>
                    <w:pStyle w:val="a4"/>
                    <w:ind w:left="0"/>
                  </w:pPr>
                  <w:r w:rsidRPr="00225117">
                    <w:t xml:space="preserve">Опыт исполнения договоров </w:t>
                  </w:r>
                  <w:r w:rsidR="00225117" w:rsidRPr="00225117">
                    <w:t>(</w:t>
                  </w:r>
                  <w:r w:rsidR="008E3EB3">
                    <w:t>аналогичных предмету закупки</w:t>
                  </w:r>
                  <w:r w:rsidR="00225117" w:rsidRPr="00225117">
                    <w:t xml:space="preserve">) </w:t>
                  </w:r>
                  <w:r w:rsidRPr="00225117">
                    <w:t xml:space="preserve">не менее </w:t>
                  </w:r>
                  <w:r w:rsidR="005C21C7" w:rsidRPr="00225117">
                    <w:t>5</w:t>
                  </w:r>
                  <w:r w:rsidR="00C901EB" w:rsidRPr="00225117">
                    <w:t xml:space="preserve"> </w:t>
                  </w:r>
                  <w:r w:rsidRPr="00225117">
                    <w:t>лет</w:t>
                  </w:r>
                </w:p>
              </w:tc>
              <w:tc>
                <w:tcPr>
                  <w:tcW w:w="992" w:type="dxa"/>
                  <w:shd w:val="clear" w:color="auto" w:fill="auto"/>
                </w:tcPr>
                <w:p w:rsidR="002B6897" w:rsidRPr="00551D66" w:rsidRDefault="005C21C7" w:rsidP="00860923">
                  <w:pPr>
                    <w:pStyle w:val="a4"/>
                    <w:ind w:left="0"/>
                    <w:jc w:val="center"/>
                    <w:rPr>
                      <w:rFonts w:cs="Arial"/>
                      <w:color w:val="000000"/>
                    </w:rPr>
                  </w:pPr>
                  <w:r>
                    <w:rPr>
                      <w:rFonts w:cs="Arial"/>
                      <w:color w:val="000000"/>
                    </w:rPr>
                    <w:t>5</w:t>
                  </w:r>
                  <w:r w:rsidR="002B6897" w:rsidRPr="00551D66">
                    <w:rPr>
                      <w:rFonts w:cs="Arial"/>
                      <w:color w:val="000000"/>
                    </w:rPr>
                    <w:t xml:space="preserve"> %</w:t>
                  </w:r>
                </w:p>
              </w:tc>
              <w:tc>
                <w:tcPr>
                  <w:tcW w:w="3119" w:type="dxa"/>
                  <w:shd w:val="clear" w:color="auto" w:fill="auto"/>
                </w:tcPr>
                <w:p w:rsidR="002B6897" w:rsidRPr="00CD25D5" w:rsidRDefault="00DC450D" w:rsidP="008E3EB3">
                  <w:pPr>
                    <w:jc w:val="both"/>
                    <w:rPr>
                      <w:highlight w:val="yellow"/>
                    </w:rPr>
                  </w:pPr>
                  <w:r w:rsidRPr="00A4788C">
                    <w:t xml:space="preserve">Оценивается </w:t>
                  </w:r>
                  <w:r>
                    <w:t>наличие у претендента опыта работы</w:t>
                  </w:r>
                  <w:r w:rsidRPr="00551D66">
                    <w:t xml:space="preserve"> </w:t>
                  </w:r>
                  <w:r w:rsidR="00225117" w:rsidRPr="00225117">
                    <w:t>(опыта охранной деятельности</w:t>
                  </w:r>
                  <w:r w:rsidR="008E3EB3">
                    <w:t>,</w:t>
                  </w:r>
                  <w:r w:rsidR="00225117" w:rsidRPr="00225117">
                    <w:t xml:space="preserve"> </w:t>
                  </w:r>
                  <w:r w:rsidR="008E3EB3">
                    <w:t>аналогичного предмету закупки</w:t>
                  </w:r>
                  <w:r w:rsidR="00225117" w:rsidRPr="00225117">
                    <w:t xml:space="preserve">) </w:t>
                  </w:r>
                  <w:r>
                    <w:t xml:space="preserve"> не менее </w:t>
                  </w:r>
                  <w:r w:rsidR="00B66434">
                    <w:t>5</w:t>
                  </w:r>
                  <w:r>
                    <w:t xml:space="preserve"> лет</w:t>
                  </w:r>
                  <w:r w:rsidRPr="00A4788C">
                    <w:t xml:space="preserve">, </w:t>
                  </w:r>
                  <w:r w:rsidR="008E3EB3">
                    <w:t>указанного</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rsidR="00C901EB">
                    <w:t xml:space="preserve">. Наличие опыта у участника закупки подтверждается по форме Приложения №7, с приложением копий  </w:t>
                  </w:r>
                  <w:r w:rsidR="00C901EB" w:rsidRPr="00C901EB">
                    <w:t xml:space="preserve"> выполненных договоров и актов приемки</w:t>
                  </w:r>
                  <w:r w:rsidR="00C901EB">
                    <w:t xml:space="preserve"> работ.</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w:t>
            </w:r>
            <w:r>
              <w:lastRenderedPageBreak/>
              <w:t>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D57B6">
        <w:trPr>
          <w:trHeight w:val="144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C21C7" w:rsidRPr="00E30754" w:rsidRDefault="005C21C7" w:rsidP="005C21C7">
            <w:pPr>
              <w:autoSpaceDE w:val="0"/>
              <w:autoSpaceDN w:val="0"/>
              <w:adjustRightInd w:val="0"/>
              <w:jc w:val="both"/>
              <w:rPr>
                <w:rFonts w:eastAsia="Calibri"/>
                <w:iCs/>
                <w:color w:val="000000"/>
              </w:rPr>
            </w:pPr>
            <w:r w:rsidRPr="00E30754">
              <w:t>Адреса объектов указаны в Техническом задании</w:t>
            </w:r>
            <w:r w:rsidRPr="00E30754">
              <w:rPr>
                <w:iCs/>
              </w:rPr>
              <w:t xml:space="preserve"> (Приложение № 1</w:t>
            </w:r>
            <w:r w:rsidR="00860923">
              <w:rPr>
                <w:iCs/>
              </w:rPr>
              <w:t>.1</w:t>
            </w:r>
            <w:r w:rsidRPr="00E30754">
              <w:rPr>
                <w:iCs/>
              </w:rPr>
              <w:t>) к Извещению.</w:t>
            </w:r>
            <w:r w:rsidRPr="00E30754">
              <w:rPr>
                <w:rFonts w:eastAsia="Calibri"/>
                <w:iCs/>
                <w:color w:val="000000"/>
              </w:rPr>
              <w:t xml:space="preserve"> </w:t>
            </w:r>
          </w:p>
          <w:p w:rsidR="0014229A" w:rsidRPr="00F84878" w:rsidRDefault="005C21C7" w:rsidP="005C21C7">
            <w:pPr>
              <w:pStyle w:val="Default"/>
              <w:jc w:val="both"/>
            </w:pPr>
            <w:r w:rsidRPr="00E30754">
              <w:t>Срок оказания услуг: с 01 января 2016г.  по 31 декабря  2016г.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D57B6" w:rsidRPr="006D57B6" w:rsidRDefault="006D57B6" w:rsidP="006D57B6">
            <w:pPr>
              <w:jc w:val="both"/>
              <w:rPr>
                <w:i/>
              </w:rPr>
            </w:pPr>
            <w:r w:rsidRPr="00C81DBE">
              <w:t xml:space="preserve">Требуется </w:t>
            </w:r>
            <w:r>
              <w:t>обеспечение</w:t>
            </w:r>
            <w:r w:rsidRPr="00C81DBE">
              <w:rPr>
                <w:bCs/>
                <w:snapToGrid w:val="0"/>
              </w:rPr>
              <w:t>.</w:t>
            </w:r>
            <w:r>
              <w:rPr>
                <w:i/>
              </w:rPr>
              <w:t xml:space="preserve"> </w:t>
            </w:r>
            <w:r w:rsidRPr="00C81DBE">
              <w:t xml:space="preserve">Размер обеспечения: </w:t>
            </w:r>
            <w:r w:rsidR="003818AD">
              <w:t>1</w:t>
            </w:r>
            <w:r>
              <w:t>00 000</w:t>
            </w:r>
            <w:r w:rsidRPr="00C81DBE">
              <w:t xml:space="preserve"> (</w:t>
            </w:r>
            <w:r w:rsidR="003818AD">
              <w:t>Сто</w:t>
            </w:r>
            <w:r>
              <w:t xml:space="preserve"> тысяч) рублей</w:t>
            </w:r>
            <w:r w:rsidRPr="00C81DBE">
              <w:t xml:space="preserve"> (НДС не облагается).</w:t>
            </w:r>
            <w:r>
              <w:rPr>
                <w:i/>
              </w:rPr>
              <w:t xml:space="preserve"> </w:t>
            </w:r>
            <w:r w:rsidRPr="00C81DBE">
              <w:t>Форма обеспечения: денежные средства.</w:t>
            </w:r>
          </w:p>
          <w:p w:rsidR="006D57B6" w:rsidRPr="00C81DBE" w:rsidRDefault="006D57B6" w:rsidP="006D57B6">
            <w:pPr>
              <w:jc w:val="both"/>
            </w:pPr>
            <w:r w:rsidRPr="00C81DBE">
              <w:t>Валюта обеспечения: Российский рубль.</w:t>
            </w:r>
            <w:r>
              <w:t xml:space="preserve"> </w:t>
            </w:r>
            <w:r w:rsidRPr="00C81DBE">
              <w:t>Денежные средства в обеспечение Заявки вносятся в соответствии с Регламентом работы ЭТП.</w:t>
            </w:r>
          </w:p>
          <w:p w:rsidR="006D57B6" w:rsidRPr="00C81DBE" w:rsidRDefault="006D57B6" w:rsidP="006D57B6">
            <w:pPr>
              <w:tabs>
                <w:tab w:val="left" w:pos="1260"/>
                <w:tab w:val="left" w:pos="1620"/>
              </w:tabs>
              <w:jc w:val="both"/>
            </w:pPr>
            <w:r w:rsidRPr="00C81DBE">
              <w:t>Обеспечение заявок не возвращается в случаях:</w:t>
            </w:r>
          </w:p>
          <w:p w:rsidR="006D57B6" w:rsidRPr="00C81DBE" w:rsidRDefault="006D57B6" w:rsidP="006D57B6">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6D57B6" w:rsidP="006D57B6">
            <w:pPr>
              <w:jc w:val="both"/>
            </w:pPr>
            <w:r w:rsidRPr="00C81DBE">
              <w:t>-  изменения или отзыва участником процедур закупок заявки после истечения срока окончания подачи заявок.</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проведения переторжки и </w:t>
            </w:r>
            <w:r>
              <w:lastRenderedPageBreak/>
              <w:t>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w:t>
            </w:r>
            <w:r w:rsidRPr="003A6106">
              <w:lastRenderedPageBreak/>
              <w:t xml:space="preserve">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8E654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lastRenderedPageBreak/>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8E654F">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Pr="00326927" w:rsidRDefault="0014229A" w:rsidP="005E04C1">
            <w:pPr>
              <w:tabs>
                <w:tab w:val="left" w:pos="993"/>
              </w:tabs>
              <w:ind w:firstLine="415"/>
              <w:jc w:val="both"/>
              <w:rPr>
                <w:b/>
              </w:rPr>
            </w:pPr>
            <w:bookmarkStart w:id="34" w:name="_Ref313307290"/>
            <w:r w:rsidRPr="00326927">
              <w:t xml:space="preserve">3) Предложение Претендента в отношении предмета </w:t>
            </w:r>
            <w:bookmarkStart w:id="35" w:name="_Ref314562291"/>
            <w:r w:rsidR="00A02B2E" w:rsidRPr="00326927">
              <w:t>закупки по форме Приложения № 3 к Извещению</w:t>
            </w:r>
            <w:r w:rsidR="005E04C1" w:rsidRPr="00326927">
              <w:t>,</w:t>
            </w:r>
            <w:r w:rsidR="00A02B2E" w:rsidRPr="00326927">
              <w:t xml:space="preserve"> </w:t>
            </w:r>
            <w:r w:rsidR="005E04C1" w:rsidRPr="00326927">
              <w:t xml:space="preserve">включая обоснование </w:t>
            </w:r>
            <w:r w:rsidR="00860923">
              <w:t xml:space="preserve">расчета </w:t>
            </w:r>
            <w:r w:rsidR="005E04C1" w:rsidRPr="00326927">
              <w:t xml:space="preserve">цены договора -  </w:t>
            </w:r>
            <w:r w:rsidR="00860923">
              <w:t>по форме Приложения №1.2 Спецификация</w:t>
            </w:r>
            <w:r w:rsidR="00A02B2E" w:rsidRPr="0032692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w:t>
            </w:r>
            <w:r w:rsidR="005C21C7">
              <w:t>оказанных услуг</w:t>
            </w:r>
            <w:r>
              <w:t>;</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8E654F">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8E654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6"/>
          </w:p>
          <w:p w:rsidR="00860923" w:rsidRPr="00860923" w:rsidRDefault="00535757" w:rsidP="00860923">
            <w:pPr>
              <w:pStyle w:val="a4"/>
              <w:tabs>
                <w:tab w:val="left" w:pos="1134"/>
              </w:tabs>
              <w:ind w:left="103" w:firstLine="323"/>
              <w:jc w:val="both"/>
            </w:pPr>
            <w:r>
              <w:t xml:space="preserve">7) </w:t>
            </w:r>
            <w:r w:rsidR="00860923">
              <w:t xml:space="preserve"> </w:t>
            </w:r>
            <w:r w:rsidR="00860923" w:rsidRPr="00860923">
              <w:t>Заверенную копию</w:t>
            </w:r>
            <w:r w:rsidR="00860923" w:rsidRPr="00860923">
              <w:rPr>
                <w:color w:val="000000"/>
              </w:rPr>
              <w:t xml:space="preserve"> действующей лицензии (разрешения),</w:t>
            </w:r>
          </w:p>
          <w:p w:rsidR="00860923" w:rsidRDefault="00860923" w:rsidP="00860923">
            <w:pPr>
              <w:jc w:val="both"/>
            </w:pPr>
            <w:r w:rsidRPr="00860923">
              <w:t>выданной органами внутренних дел на осуществление частной охранной деятельности.</w:t>
            </w:r>
          </w:p>
          <w:p w:rsidR="003818AD" w:rsidRPr="00860923" w:rsidRDefault="003818AD" w:rsidP="003818AD">
            <w:pPr>
              <w:ind w:firstLine="387"/>
              <w:jc w:val="both"/>
            </w:pPr>
            <w:r>
              <w:t xml:space="preserve">8) </w:t>
            </w:r>
            <w:r w:rsidRPr="006E6A0F">
              <w:t>Заверенная копия</w:t>
            </w:r>
            <w:r>
              <w:t xml:space="preserve"> </w:t>
            </w:r>
            <w:r w:rsidRPr="0063793F">
              <w:rPr>
                <w:szCs w:val="28"/>
              </w:rPr>
              <w:t>действующего разрешения на хранение и использования оружия и боеприпасов, выданное уполномоченным на то государственным органом</w:t>
            </w:r>
            <w:r>
              <w:rPr>
                <w:szCs w:val="28"/>
              </w:rPr>
              <w:t>.</w:t>
            </w:r>
          </w:p>
          <w:p w:rsidR="00225117" w:rsidRPr="00DB506B" w:rsidRDefault="003818AD" w:rsidP="00133380">
            <w:pPr>
              <w:ind w:firstLine="488"/>
              <w:jc w:val="both"/>
            </w:pPr>
            <w:r>
              <w:t>9</w:t>
            </w:r>
            <w:r w:rsidR="00860923" w:rsidRPr="00133380">
              <w:t xml:space="preserve">) </w:t>
            </w:r>
            <w:r w:rsidR="00225117" w:rsidRPr="00DB506B">
              <w:t>Информационное письмо, содержащ</w:t>
            </w:r>
            <w:r w:rsidR="00133380" w:rsidRPr="00DB506B">
              <w:t>е</w:t>
            </w:r>
            <w:r w:rsidR="00225117" w:rsidRPr="00DB506B">
              <w:t>е сведения:</w:t>
            </w:r>
          </w:p>
          <w:p w:rsidR="00225117" w:rsidRPr="00DB506B" w:rsidRDefault="00225117" w:rsidP="00DB506B">
            <w:pPr>
              <w:tabs>
                <w:tab w:val="left" w:pos="851"/>
              </w:tabs>
              <w:ind w:firstLine="426"/>
              <w:jc w:val="both"/>
            </w:pPr>
            <w:r w:rsidRPr="00DB506B">
              <w:t xml:space="preserve">- об опыте оказания </w:t>
            </w:r>
            <w:r w:rsidR="00133380" w:rsidRPr="00DB506B">
              <w:t>услуг (опыта охранной деятельности)</w:t>
            </w:r>
            <w:r w:rsidRPr="00DB506B">
              <w:t>, с указанием информации о заказчиках, по форме Приложения №</w:t>
            </w:r>
            <w:r w:rsidR="00133380" w:rsidRPr="00DB506B">
              <w:t>7</w:t>
            </w:r>
            <w:r w:rsidRPr="00DB506B">
              <w:t xml:space="preserve"> к Извещению;</w:t>
            </w:r>
          </w:p>
          <w:p w:rsidR="00225117" w:rsidRPr="00DB506B" w:rsidRDefault="00225117" w:rsidP="00DB506B">
            <w:pPr>
              <w:tabs>
                <w:tab w:val="left" w:pos="851"/>
              </w:tabs>
              <w:ind w:firstLine="426"/>
              <w:jc w:val="both"/>
            </w:pPr>
            <w:r w:rsidRPr="00DB506B">
              <w:t>- о списочной численности работников</w:t>
            </w:r>
            <w:r w:rsidR="00133380" w:rsidRPr="00DB506B">
              <w:t xml:space="preserve"> </w:t>
            </w:r>
            <w:r w:rsidRPr="00DB506B">
              <w:t xml:space="preserve">(охранников), работающих </w:t>
            </w:r>
            <w:r w:rsidRPr="00DB506B">
              <w:lastRenderedPageBreak/>
              <w:t xml:space="preserve">на постоянной основе, </w:t>
            </w:r>
            <w:r w:rsidR="00133380" w:rsidRPr="00DB506B">
              <w:t>по форме</w:t>
            </w:r>
            <w:r w:rsidRPr="00DB506B">
              <w:t xml:space="preserve"> Приложени</w:t>
            </w:r>
            <w:r w:rsidR="00133380" w:rsidRPr="00DB506B">
              <w:t>я</w:t>
            </w:r>
            <w:r w:rsidRPr="00DB506B">
              <w:t xml:space="preserve"> № </w:t>
            </w:r>
            <w:r w:rsidR="00133380" w:rsidRPr="00DB506B">
              <w:t>7</w:t>
            </w:r>
            <w:r w:rsidRPr="00DB506B">
              <w:t xml:space="preserve"> к Извещению;</w:t>
            </w:r>
          </w:p>
          <w:p w:rsidR="00225117" w:rsidRPr="00DB506B" w:rsidRDefault="00225117" w:rsidP="00DB506B">
            <w:pPr>
              <w:pStyle w:val="a4"/>
              <w:tabs>
                <w:tab w:val="left" w:pos="1134"/>
              </w:tabs>
              <w:ind w:left="0" w:firstLine="426"/>
              <w:jc w:val="both"/>
            </w:pPr>
            <w:r w:rsidRPr="00DB506B">
              <w:t xml:space="preserve">- о </w:t>
            </w:r>
            <w:r w:rsidR="003818AD">
              <w:t xml:space="preserve">наличии </w:t>
            </w:r>
            <w:r w:rsidR="003818AD" w:rsidRPr="0063793F">
              <w:rPr>
                <w:szCs w:val="28"/>
              </w:rPr>
              <w:t>круглосуточной дежурной службы, пульта централизованного наблюдения и реагирования на территории Республики Башкортостан для технической охраны объектов</w:t>
            </w:r>
            <w:r w:rsidR="00133380" w:rsidRPr="00DB506B">
              <w:t>,</w:t>
            </w:r>
            <w:r w:rsidRPr="00DB506B">
              <w:rPr>
                <w:color w:val="000000"/>
              </w:rPr>
              <w:t xml:space="preserve"> </w:t>
            </w:r>
            <w:r w:rsidR="00133380" w:rsidRPr="00DB506B">
              <w:t>по форме Приложения № 7 к Извещению</w:t>
            </w:r>
            <w:r w:rsidRPr="00DB506B">
              <w:t>;</w:t>
            </w:r>
          </w:p>
          <w:p w:rsidR="00225117" w:rsidRPr="00DB506B" w:rsidRDefault="00225117" w:rsidP="00DB506B">
            <w:pPr>
              <w:pStyle w:val="a4"/>
              <w:tabs>
                <w:tab w:val="left" w:pos="1134"/>
              </w:tabs>
              <w:ind w:left="0" w:firstLine="426"/>
              <w:jc w:val="both"/>
            </w:pPr>
            <w:proofErr w:type="gramStart"/>
            <w:r w:rsidRPr="00DB506B">
              <w:t xml:space="preserve">- о </w:t>
            </w:r>
            <w:r w:rsidR="003818AD">
              <w:t xml:space="preserve">наличии </w:t>
            </w:r>
            <w:r w:rsidR="003818AD" w:rsidRPr="0063793F">
              <w:rPr>
                <w:szCs w:val="28"/>
              </w:rPr>
              <w:t xml:space="preserve">экипажей мобильных групп быстрого реагирования не менее чем в 40% населенных пунктах, экипированных средствами индивидуальной </w:t>
            </w:r>
            <w:proofErr w:type="spellStart"/>
            <w:r w:rsidR="003818AD" w:rsidRPr="0063793F">
              <w:rPr>
                <w:szCs w:val="28"/>
              </w:rPr>
              <w:t>бронезащиты</w:t>
            </w:r>
            <w:proofErr w:type="spellEnd"/>
            <w:r w:rsidR="003818AD" w:rsidRPr="0063793F">
              <w:rPr>
                <w:szCs w:val="28"/>
              </w:rPr>
              <w:t>, вооруженных служебным огнестрельным оружием</w:t>
            </w:r>
            <w:r w:rsidRPr="00DB506B">
              <w:t xml:space="preserve">, </w:t>
            </w:r>
            <w:r w:rsidR="00133380" w:rsidRPr="00DB506B">
              <w:t>по форме Приложения № 7 к Извещению</w:t>
            </w:r>
            <w:r w:rsidRPr="00DB506B">
              <w:t>;</w:t>
            </w:r>
            <w:proofErr w:type="gramEnd"/>
          </w:p>
          <w:p w:rsidR="00225117" w:rsidRPr="00DB506B" w:rsidRDefault="00225117" w:rsidP="00225117">
            <w:pPr>
              <w:ind w:firstLine="488"/>
              <w:jc w:val="both"/>
            </w:pPr>
            <w:r w:rsidRPr="00DB506B">
              <w:t xml:space="preserve">- о наличии собственного оборудования и приборов для обеспечения технической охраны объектов, </w:t>
            </w:r>
            <w:r w:rsidR="00133380" w:rsidRPr="00DB506B">
              <w:t>по ф</w:t>
            </w:r>
            <w:r w:rsidR="003818AD">
              <w:t>орме Приложения № 7 к Извещению.</w:t>
            </w:r>
          </w:p>
          <w:p w:rsidR="0014377F" w:rsidRPr="007D2576" w:rsidRDefault="00DB506B" w:rsidP="0014377F">
            <w:pPr>
              <w:ind w:firstLine="488"/>
              <w:jc w:val="both"/>
            </w:pPr>
            <w:r>
              <w:t xml:space="preserve">10) </w:t>
            </w:r>
            <w:r w:rsidR="0014377F" w:rsidRPr="007D2576">
              <w:t xml:space="preserve">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Default="0014229A" w:rsidP="003B25CB">
            <w:pPr>
              <w:ind w:firstLine="488"/>
              <w:jc w:val="both"/>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3818AD" w:rsidRPr="00F46F0B" w:rsidRDefault="003818AD" w:rsidP="003B25CB">
            <w:pPr>
              <w:ind w:firstLine="488"/>
              <w:jc w:val="both"/>
              <w:rPr>
                <w:b/>
              </w:rPr>
            </w:pPr>
            <w:r>
              <w:t>Документы должны быть предоставлены строго до даты окончания регистрации претендентов в процедуре открытого запроса предложений.</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lastRenderedPageBreak/>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w:t>
            </w:r>
            <w:r w:rsidRPr="00385A5A">
              <w:lastRenderedPageBreak/>
              <w:t>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8E654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8E654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 xml:space="preserve">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w:t>
            </w:r>
            <w:r>
              <w:lastRenderedPageBreak/>
              <w:t>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7521B0" w:rsidP="007521B0">
            <w:pPr>
              <w:ind w:firstLine="528"/>
              <w:jc w:val="both"/>
            </w:pPr>
            <w:r w:rsidRPr="00F0553D">
              <w:t xml:space="preserve">Определены разделом </w:t>
            </w:r>
            <w:r>
              <w:rPr>
                <w:lang w:val="en-US"/>
              </w:rPr>
              <w:t>IV</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w:t>
      </w:r>
      <w:r w:rsidR="00CD25D5">
        <w:t>1</w:t>
      </w:r>
      <w:r w:rsidR="00860923">
        <w:t>.1</w:t>
      </w:r>
      <w:r w:rsidR="00C20F72">
        <w:t xml:space="preserve"> к Извещению), </w:t>
      </w:r>
      <w:r w:rsidR="00860923">
        <w:t xml:space="preserve">Спецификация (Приложение №1.2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w:t>
      </w:r>
      <w:proofErr w:type="gramEnd"/>
      <w:r w:rsidR="005C6DCB" w:rsidRPr="005C6DCB">
        <w:t xml:space="preserve"> № </w:t>
      </w:r>
      <w:proofErr w:type="gramStart"/>
      <w:r w:rsidR="005C6DCB" w:rsidRPr="005C6DCB">
        <w:t>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CE2888">
        <w:t xml:space="preserve">, </w:t>
      </w:r>
      <w:r w:rsidR="00225117">
        <w:t>Информационное письмо</w:t>
      </w:r>
      <w:r w:rsidR="00CE2888">
        <w:t xml:space="preserve"> (Приложение №7 к Извещению)</w:t>
      </w:r>
      <w:r w:rsidR="005C6DCB" w:rsidRPr="005C6DCB">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71E" w:rsidRDefault="00FD471E" w:rsidP="0014229A">
      <w:r>
        <w:separator/>
      </w:r>
    </w:p>
  </w:endnote>
  <w:endnote w:type="continuationSeparator" w:id="0">
    <w:p w:rsidR="00FD471E" w:rsidRDefault="00FD471E"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71E" w:rsidRDefault="00FD471E" w:rsidP="0014229A">
      <w:r>
        <w:separator/>
      </w:r>
    </w:p>
  </w:footnote>
  <w:footnote w:type="continuationSeparator" w:id="0">
    <w:p w:rsidR="00FD471E" w:rsidRDefault="00FD471E"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5" w:rsidRDefault="00FA7C45">
    <w:pPr>
      <w:pStyle w:val="a6"/>
      <w:jc w:val="center"/>
    </w:pPr>
    <w:r>
      <w:fldChar w:fldCharType="begin"/>
    </w:r>
    <w:r>
      <w:instrText>PAGE   \* MERGEFORMAT</w:instrText>
    </w:r>
    <w:r>
      <w:fldChar w:fldCharType="separate"/>
    </w:r>
    <w:r w:rsidR="008E654F">
      <w:rPr>
        <w:noProof/>
      </w:rPr>
      <w:t>1</w:t>
    </w:r>
    <w:r>
      <w:fldChar w:fldCharType="end"/>
    </w:r>
  </w:p>
  <w:p w:rsidR="00FA7C45" w:rsidRDefault="00FA7C4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D6510"/>
    <w:rsid w:val="000E0120"/>
    <w:rsid w:val="000F4823"/>
    <w:rsid w:val="00113692"/>
    <w:rsid w:val="00131F78"/>
    <w:rsid w:val="00133380"/>
    <w:rsid w:val="0014229A"/>
    <w:rsid w:val="0014377F"/>
    <w:rsid w:val="00155152"/>
    <w:rsid w:val="0017553A"/>
    <w:rsid w:val="001B4383"/>
    <w:rsid w:val="001B7CDD"/>
    <w:rsid w:val="001B7D6B"/>
    <w:rsid w:val="001C03F0"/>
    <w:rsid w:val="001C7491"/>
    <w:rsid w:val="001F4184"/>
    <w:rsid w:val="001F6466"/>
    <w:rsid w:val="001F7110"/>
    <w:rsid w:val="00204117"/>
    <w:rsid w:val="00225117"/>
    <w:rsid w:val="00255E3F"/>
    <w:rsid w:val="0026485E"/>
    <w:rsid w:val="00294822"/>
    <w:rsid w:val="002B6897"/>
    <w:rsid w:val="002D059D"/>
    <w:rsid w:val="003042B3"/>
    <w:rsid w:val="00311256"/>
    <w:rsid w:val="0032055F"/>
    <w:rsid w:val="00326927"/>
    <w:rsid w:val="0033356E"/>
    <w:rsid w:val="003673F7"/>
    <w:rsid w:val="00373528"/>
    <w:rsid w:val="003818AD"/>
    <w:rsid w:val="00393AC3"/>
    <w:rsid w:val="003B25CB"/>
    <w:rsid w:val="003C5771"/>
    <w:rsid w:val="003E3508"/>
    <w:rsid w:val="003E710C"/>
    <w:rsid w:val="00400566"/>
    <w:rsid w:val="00401F71"/>
    <w:rsid w:val="00411612"/>
    <w:rsid w:val="00412814"/>
    <w:rsid w:val="0043434A"/>
    <w:rsid w:val="0043526C"/>
    <w:rsid w:val="004549AC"/>
    <w:rsid w:val="004739F3"/>
    <w:rsid w:val="00476009"/>
    <w:rsid w:val="004845F4"/>
    <w:rsid w:val="004C05AA"/>
    <w:rsid w:val="004D14CD"/>
    <w:rsid w:val="00510E96"/>
    <w:rsid w:val="00535757"/>
    <w:rsid w:val="005717E2"/>
    <w:rsid w:val="00574643"/>
    <w:rsid w:val="005807EB"/>
    <w:rsid w:val="00580C36"/>
    <w:rsid w:val="00591BD4"/>
    <w:rsid w:val="00596AC4"/>
    <w:rsid w:val="005A200A"/>
    <w:rsid w:val="005B0AB9"/>
    <w:rsid w:val="005C21C7"/>
    <w:rsid w:val="005C6DCB"/>
    <w:rsid w:val="005E04C1"/>
    <w:rsid w:val="005E1AFD"/>
    <w:rsid w:val="005E58BA"/>
    <w:rsid w:val="005E63CD"/>
    <w:rsid w:val="005F6199"/>
    <w:rsid w:val="006351F8"/>
    <w:rsid w:val="0065239C"/>
    <w:rsid w:val="006603A3"/>
    <w:rsid w:val="00660B32"/>
    <w:rsid w:val="006B054C"/>
    <w:rsid w:val="006B7711"/>
    <w:rsid w:val="006C0CCF"/>
    <w:rsid w:val="006D57B6"/>
    <w:rsid w:val="006E6A0F"/>
    <w:rsid w:val="006F1C74"/>
    <w:rsid w:val="007444B9"/>
    <w:rsid w:val="007521B0"/>
    <w:rsid w:val="007756F2"/>
    <w:rsid w:val="0078652E"/>
    <w:rsid w:val="007A354A"/>
    <w:rsid w:val="007E34B5"/>
    <w:rsid w:val="007E5FE7"/>
    <w:rsid w:val="007F4768"/>
    <w:rsid w:val="0081021F"/>
    <w:rsid w:val="008239AB"/>
    <w:rsid w:val="008314DF"/>
    <w:rsid w:val="0083262D"/>
    <w:rsid w:val="0083542D"/>
    <w:rsid w:val="00852B1E"/>
    <w:rsid w:val="00853EE5"/>
    <w:rsid w:val="00860923"/>
    <w:rsid w:val="008A40EB"/>
    <w:rsid w:val="008C6A98"/>
    <w:rsid w:val="008E11DD"/>
    <w:rsid w:val="008E3EB3"/>
    <w:rsid w:val="008E654F"/>
    <w:rsid w:val="008F26C5"/>
    <w:rsid w:val="009100AA"/>
    <w:rsid w:val="00937E6E"/>
    <w:rsid w:val="009A662F"/>
    <w:rsid w:val="009C30CA"/>
    <w:rsid w:val="00A021A1"/>
    <w:rsid w:val="00A02B2E"/>
    <w:rsid w:val="00A24CB7"/>
    <w:rsid w:val="00A27D60"/>
    <w:rsid w:val="00A667E3"/>
    <w:rsid w:val="00AB0FBA"/>
    <w:rsid w:val="00AC77B0"/>
    <w:rsid w:val="00AD6F23"/>
    <w:rsid w:val="00AE4373"/>
    <w:rsid w:val="00B37EB4"/>
    <w:rsid w:val="00B66434"/>
    <w:rsid w:val="00BA7B82"/>
    <w:rsid w:val="00BE17CB"/>
    <w:rsid w:val="00C20F72"/>
    <w:rsid w:val="00C327CC"/>
    <w:rsid w:val="00C675FE"/>
    <w:rsid w:val="00C77202"/>
    <w:rsid w:val="00C82153"/>
    <w:rsid w:val="00C84DFD"/>
    <w:rsid w:val="00C901EB"/>
    <w:rsid w:val="00C92A83"/>
    <w:rsid w:val="00C94C33"/>
    <w:rsid w:val="00CD25D5"/>
    <w:rsid w:val="00CE2888"/>
    <w:rsid w:val="00CF2B41"/>
    <w:rsid w:val="00CF4DB2"/>
    <w:rsid w:val="00D15EFF"/>
    <w:rsid w:val="00D4565D"/>
    <w:rsid w:val="00D576D1"/>
    <w:rsid w:val="00D94587"/>
    <w:rsid w:val="00D97FAB"/>
    <w:rsid w:val="00DA4E0B"/>
    <w:rsid w:val="00DB2617"/>
    <w:rsid w:val="00DB506B"/>
    <w:rsid w:val="00DC450D"/>
    <w:rsid w:val="00E0314F"/>
    <w:rsid w:val="00E245A7"/>
    <w:rsid w:val="00E42634"/>
    <w:rsid w:val="00E42B67"/>
    <w:rsid w:val="00E53751"/>
    <w:rsid w:val="00E738A5"/>
    <w:rsid w:val="00E74D2C"/>
    <w:rsid w:val="00E75FC5"/>
    <w:rsid w:val="00E8149F"/>
    <w:rsid w:val="00EA1830"/>
    <w:rsid w:val="00EB04A4"/>
    <w:rsid w:val="00EB346C"/>
    <w:rsid w:val="00EC06E5"/>
    <w:rsid w:val="00ED6883"/>
    <w:rsid w:val="00ED7BA7"/>
    <w:rsid w:val="00EE4C21"/>
    <w:rsid w:val="00EF33D2"/>
    <w:rsid w:val="00F13CAC"/>
    <w:rsid w:val="00F17D4A"/>
    <w:rsid w:val="00F4112B"/>
    <w:rsid w:val="00F4135C"/>
    <w:rsid w:val="00F65720"/>
    <w:rsid w:val="00F84853"/>
    <w:rsid w:val="00FA7C45"/>
    <w:rsid w:val="00FD4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burmistro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D8806-193F-4ABB-9DAA-1E4606F6F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1533</TotalTime>
  <Pages>21</Pages>
  <Words>8122</Words>
  <Characters>46296</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28</cp:revision>
  <cp:lastPrinted>2015-12-09T08:02:00Z</cp:lastPrinted>
  <dcterms:created xsi:type="dcterms:W3CDTF">2015-10-13T11:12:00Z</dcterms:created>
  <dcterms:modified xsi:type="dcterms:W3CDTF">2015-12-09T08:40:00Z</dcterms:modified>
</cp:coreProperties>
</file>