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B05A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B05A0">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B05A0">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8D2C08"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D6F86"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9"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0D6F86" w:rsidRPr="00B85C61" w:rsidRDefault="000D6F86" w:rsidP="000D6F86">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EA24ED" w:rsidRDefault="000D6F86" w:rsidP="000D6F86">
            <w:pPr>
              <w:pStyle w:val="Default"/>
            </w:pPr>
            <w:r w:rsidRPr="00607E86">
              <w:rPr>
                <w:bCs/>
              </w:rPr>
              <w:t>тел</w:t>
            </w:r>
            <w:r w:rsidRPr="00EA24ED">
              <w:rPr>
                <w:bCs/>
              </w:rPr>
              <w:t xml:space="preserve">. + 7 (347) 221-54-78 </w:t>
            </w:r>
            <w:r w:rsidRPr="00607E86">
              <w:rPr>
                <w:bCs/>
                <w:lang w:val="en-US"/>
              </w:rPr>
              <w:t>e</w:t>
            </w:r>
            <w:r w:rsidRPr="00EA24ED">
              <w:rPr>
                <w:bCs/>
              </w:rPr>
              <w:t>-</w:t>
            </w:r>
            <w:r w:rsidRPr="00607E86">
              <w:rPr>
                <w:bCs/>
                <w:lang w:val="en-US"/>
              </w:rPr>
              <w:t>mail</w:t>
            </w:r>
            <w:r w:rsidRPr="00EA24ED">
              <w:rPr>
                <w:bCs/>
              </w:rPr>
              <w:t>:</w:t>
            </w:r>
            <w:r w:rsidRPr="00EA24ED">
              <w:rPr>
                <w:rFonts w:eastAsia="Times New Roman"/>
                <w:color w:val="777777"/>
                <w:lang w:eastAsia="ru-RU"/>
              </w:rPr>
              <w:t xml:space="preserve"> </w:t>
            </w:r>
            <w:hyperlink r:id="rId20" w:history="1">
              <w:r w:rsidRPr="00B85C61">
                <w:rPr>
                  <w:rStyle w:val="a3"/>
                  <w:lang w:val="en-US"/>
                </w:rPr>
                <w:t>Timofeev</w:t>
              </w:r>
              <w:r w:rsidRPr="00EA24ED">
                <w:rPr>
                  <w:rStyle w:val="a3"/>
                </w:rPr>
                <w:t>@</w:t>
              </w:r>
              <w:proofErr w:type="spellStart"/>
              <w:r w:rsidRPr="00B85C61">
                <w:rPr>
                  <w:rStyle w:val="a3"/>
                  <w:lang w:val="en-US"/>
                </w:rPr>
                <w:t>bashtel</w:t>
              </w:r>
              <w:proofErr w:type="spellEnd"/>
              <w:r w:rsidRPr="00EA24ED">
                <w:rPr>
                  <w:rStyle w:val="a3"/>
                </w:rPr>
                <w:t>.</w:t>
              </w:r>
              <w:proofErr w:type="spellStart"/>
              <w:r w:rsidRPr="00B85C6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A24E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A24ED" w:rsidRPr="00EA24ED" w:rsidRDefault="00EA24ED" w:rsidP="00EA24ED">
            <w:pPr>
              <w:pStyle w:val="ConsPlusNormal"/>
              <w:ind w:firstLine="0"/>
              <w:jc w:val="both"/>
              <w:rPr>
                <w:rFonts w:ascii="Times New Roman" w:hAnsi="Times New Roman" w:cs="Times New Roman"/>
                <w:sz w:val="24"/>
                <w:szCs w:val="24"/>
              </w:rPr>
            </w:pPr>
            <w:r w:rsidRPr="00EA24E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3B1239">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EA24ED" w:rsidP="003B1239">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846E6">
            <w:r>
              <w:t>«</w:t>
            </w:r>
            <w:r w:rsidR="00A846E6">
              <w:t>10</w:t>
            </w:r>
            <w:r w:rsidR="0014229A" w:rsidRPr="005C24A0">
              <w:t>»</w:t>
            </w:r>
            <w:r>
              <w:rPr>
                <w:lang w:val="en-US"/>
              </w:rPr>
              <w:t xml:space="preserve"> </w:t>
            </w:r>
            <w:r w:rsidR="008C24AE">
              <w:t>марта</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A846E6">
              <w:t>10</w:t>
            </w:r>
            <w:r w:rsidR="000D6F86" w:rsidRPr="005C24A0">
              <w:t>»</w:t>
            </w:r>
            <w:r w:rsidR="000D6F86" w:rsidRPr="000D6F86">
              <w:t xml:space="preserve"> </w:t>
            </w:r>
            <w:r w:rsidR="008C24AE">
              <w:t>марта</w:t>
            </w:r>
            <w:r w:rsidR="000D6F86">
              <w:t xml:space="preserve"> 2016</w:t>
            </w:r>
            <w:r w:rsidR="000D6F86" w:rsidRPr="005C24A0">
              <w:t xml:space="preserve"> года</w:t>
            </w:r>
            <w:r w:rsidRPr="00022F58">
              <w:rPr>
                <w:iCs/>
              </w:rPr>
              <w:t xml:space="preserve"> в 1</w:t>
            </w:r>
            <w:r w:rsidR="00A846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A846E6">
            <w:r w:rsidRPr="00022F58">
              <w:rPr>
                <w:iCs/>
              </w:rPr>
              <w:t>«</w:t>
            </w:r>
            <w:r w:rsidR="00A846E6">
              <w:rPr>
                <w:iCs/>
              </w:rPr>
              <w:t>30</w:t>
            </w:r>
            <w:r w:rsidRPr="00022F58">
              <w:rPr>
                <w:iCs/>
              </w:rPr>
              <w:t xml:space="preserve">» </w:t>
            </w:r>
            <w:r w:rsidR="000D6F86">
              <w:rPr>
                <w:iCs/>
              </w:rPr>
              <w:t>марта</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A846E6">
            <w:pPr>
              <w:rPr>
                <w:highlight w:val="lightGray"/>
              </w:rPr>
            </w:pPr>
            <w:r w:rsidRPr="00022F58">
              <w:rPr>
                <w:iCs/>
              </w:rPr>
              <w:t>«</w:t>
            </w:r>
            <w:r w:rsidR="00A846E6">
              <w:rPr>
                <w:iCs/>
              </w:rPr>
              <w:t>30</w:t>
            </w:r>
            <w:r w:rsidRPr="00022F58">
              <w:rPr>
                <w:iCs/>
              </w:rPr>
              <w:t xml:space="preserve">» </w:t>
            </w:r>
            <w:r>
              <w:rPr>
                <w:iCs/>
              </w:rPr>
              <w:t>марта</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A846E6">
              <w:t>01</w:t>
            </w:r>
            <w:r w:rsidRPr="00022F58">
              <w:t xml:space="preserve">» </w:t>
            </w:r>
            <w:r w:rsidR="00A846E6">
              <w:rPr>
                <w:iCs/>
              </w:rPr>
              <w:t>апреля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A846E6">
              <w:t>01</w:t>
            </w:r>
            <w:r w:rsidRPr="00022F58">
              <w:t xml:space="preserve">» </w:t>
            </w:r>
            <w:r w:rsidR="00A846E6">
              <w:rPr>
                <w:iCs/>
              </w:rPr>
              <w:t>апреля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A846E6">
              <w:t>12</w:t>
            </w:r>
            <w:r w:rsidRPr="00022F58">
              <w:t xml:space="preserve">» </w:t>
            </w:r>
            <w:r w:rsidR="008C24AE">
              <w:rPr>
                <w:iCs/>
              </w:rPr>
              <w:t>апреля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C24AE" w:rsidRPr="00EA0805" w:rsidRDefault="008C24AE" w:rsidP="008C24AE">
            <w:pPr>
              <w:autoSpaceDE w:val="0"/>
              <w:autoSpaceDN w:val="0"/>
              <w:adjustRightInd w:val="0"/>
              <w:jc w:val="both"/>
              <w:rPr>
                <w:rFonts w:eastAsia="Calibri"/>
                <w:b/>
                <w:iCs/>
                <w:color w:val="000000"/>
              </w:rPr>
            </w:pPr>
            <w:r>
              <w:rPr>
                <w:b/>
              </w:rPr>
              <w:t xml:space="preserve">Поставка коммутаторов доступа </w:t>
            </w:r>
            <w:r>
              <w:rPr>
                <w:b/>
                <w:lang w:val="en-US"/>
              </w:rPr>
              <w:t>FTT</w:t>
            </w:r>
            <w:proofErr w:type="gramStart"/>
            <w:r>
              <w:rPr>
                <w:b/>
              </w:rPr>
              <w:t>Х</w:t>
            </w:r>
            <w:proofErr w:type="gramEnd"/>
            <w:r>
              <w:rPr>
                <w:b/>
              </w:rPr>
              <w:t>.</w:t>
            </w:r>
          </w:p>
          <w:p w:rsidR="0014229A" w:rsidRPr="00227C39" w:rsidRDefault="008C24AE" w:rsidP="008C24AE">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Техническими требованиями (Приложение №1.1 к Документации о закупке), Техническим заданием</w:t>
            </w:r>
            <w:r w:rsidRPr="00E61607">
              <w:rPr>
                <w:rFonts w:eastAsia="Times New Roman"/>
                <w:lang w:eastAsia="ru-RU"/>
              </w:rPr>
              <w:t xml:space="preserve">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A47FAD">
            <w:pPr>
              <w:jc w:val="both"/>
            </w:pPr>
            <w:r>
              <w:lastRenderedPageBreak/>
              <w:t>О</w:t>
            </w:r>
            <w:r w:rsidRPr="00E61607">
              <w:t xml:space="preserve">пределяются </w:t>
            </w:r>
            <w:r w:rsidR="00D51F92">
              <w:t>Техническими требованиями (Приложение №1.1 к Документации о закупке), Техническим заданием</w:t>
            </w:r>
            <w:r w:rsidR="00D51F92" w:rsidRPr="00E61607">
              <w:t xml:space="preserve"> (Приложение №</w:t>
            </w:r>
            <w:r w:rsidR="00D51F92">
              <w:t xml:space="preserve"> </w:t>
            </w:r>
            <w:r w:rsidR="00D51F92" w:rsidRPr="00E61607">
              <w:t>1</w:t>
            </w:r>
            <w:r w:rsidR="00D51F92">
              <w:t xml:space="preserve">.2 </w:t>
            </w:r>
            <w:r w:rsidR="00D51F92" w:rsidRPr="00E61607">
              <w:t xml:space="preserve">к </w:t>
            </w:r>
            <w:r w:rsidR="00D51F92">
              <w:t>Документации о закупке</w:t>
            </w:r>
            <w:r w:rsidR="00D51F92" w:rsidRPr="00E61607">
              <w:t xml:space="preserve">) 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C24AE" w:rsidRDefault="008C24AE" w:rsidP="008C24A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5 168 400,00 (Пять миллионов сто шестьдесят восемь тысяч четыреста) рублей 00 коп</w:t>
            </w:r>
            <w:proofErr w:type="gramStart"/>
            <w:r>
              <w:rPr>
                <w:iCs/>
              </w:rPr>
              <w:t xml:space="preserve">., </w:t>
            </w:r>
            <w:proofErr w:type="gramEnd"/>
            <w:r>
              <w:rPr>
                <w:iCs/>
              </w:rPr>
              <w:t>в том числе сумма НДС (18%) 788 400,00 рублей.</w:t>
            </w:r>
          </w:p>
          <w:p w:rsidR="008C24AE" w:rsidRDefault="008C24AE" w:rsidP="008C24A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4 380 000,00 рублей без НДС.</w:t>
            </w:r>
          </w:p>
          <w:p w:rsidR="008C24AE" w:rsidRDefault="008C24AE" w:rsidP="008C24AE">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8C24AE" w:rsidRPr="00087C8A" w:rsidRDefault="008C24AE" w:rsidP="008C24AE">
            <w:pPr>
              <w:autoSpaceDE w:val="0"/>
              <w:autoSpaceDN w:val="0"/>
              <w:adjustRightInd w:val="0"/>
              <w:jc w:val="both"/>
              <w:rPr>
                <w:rFonts w:eastAsia="Calibri"/>
                <w:iCs/>
                <w:sz w:val="16"/>
                <w:szCs w:val="16"/>
              </w:rPr>
            </w:pPr>
          </w:p>
          <w:p w:rsidR="008C24AE" w:rsidRPr="004A6E0F" w:rsidRDefault="008C24AE" w:rsidP="008C24AE">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8C24AE" w:rsidRPr="00087C8A" w:rsidRDefault="008C24AE" w:rsidP="008C24AE">
            <w:pPr>
              <w:autoSpaceDE w:val="0"/>
              <w:autoSpaceDN w:val="0"/>
              <w:adjustRightInd w:val="0"/>
              <w:jc w:val="both"/>
              <w:rPr>
                <w:rFonts w:eastAsia="Calibri"/>
                <w:iCs/>
                <w:sz w:val="16"/>
                <w:szCs w:val="16"/>
              </w:rPr>
            </w:pPr>
          </w:p>
          <w:p w:rsidR="008C24AE" w:rsidRPr="004A6E0F" w:rsidRDefault="008C24AE" w:rsidP="008C24AE">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8C24AE" w:rsidRPr="004A6E0F" w:rsidRDefault="008C24AE" w:rsidP="008C24AE">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8C24AE" w:rsidRPr="00087C8A" w:rsidRDefault="008C24AE" w:rsidP="008C24AE">
            <w:pPr>
              <w:autoSpaceDE w:val="0"/>
              <w:autoSpaceDN w:val="0"/>
              <w:adjustRightInd w:val="0"/>
              <w:jc w:val="both"/>
              <w:rPr>
                <w:rFonts w:eastAsia="Calibri"/>
                <w:iCs/>
                <w:sz w:val="16"/>
                <w:szCs w:val="16"/>
              </w:rPr>
            </w:pPr>
          </w:p>
          <w:p w:rsidR="008C24AE" w:rsidRPr="004A6E0F" w:rsidRDefault="008C24AE" w:rsidP="008C24AE">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8C24AE" w:rsidRPr="004A6E0F" w:rsidRDefault="008C24AE" w:rsidP="008C24AE">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8C24AE" w:rsidRPr="00087C8A" w:rsidRDefault="008C24AE" w:rsidP="008C24AE">
            <w:pPr>
              <w:autoSpaceDE w:val="0"/>
              <w:autoSpaceDN w:val="0"/>
              <w:adjustRightInd w:val="0"/>
              <w:jc w:val="both"/>
              <w:rPr>
                <w:rFonts w:eastAsia="Calibri"/>
                <w:iCs/>
                <w:sz w:val="16"/>
                <w:szCs w:val="16"/>
              </w:rPr>
            </w:pPr>
          </w:p>
          <w:p w:rsidR="008C24AE" w:rsidRPr="000F5CA5" w:rsidRDefault="008C24AE" w:rsidP="008C24AE">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 xml:space="preserve">эффициента снижения, предложенного таким Участником, не должно </w:t>
            </w:r>
            <w:r w:rsidRPr="000F5CA5">
              <w:rPr>
                <w:rFonts w:eastAsia="Calibri"/>
                <w:iCs/>
              </w:rPr>
              <w:lastRenderedPageBreak/>
              <w:t>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8C24AE" w:rsidP="008C24AE">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1</w:t>
            </w:r>
            <w:r>
              <w:rPr>
                <w:rFonts w:eastAsia="Calibri"/>
                <w:iCs/>
              </w:rPr>
              <w:t>.2</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EA24ED" w:rsidRPr="00F84878" w:rsidTr="00BA7B82">
              <w:tc>
                <w:tcPr>
                  <w:tcW w:w="4110" w:type="dxa"/>
                  <w:shd w:val="clear" w:color="auto" w:fill="auto"/>
                </w:tcPr>
                <w:p w:rsidR="00EA24ED" w:rsidRDefault="00EA24ED" w:rsidP="003B123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EA24ED" w:rsidRDefault="00EA24ED" w:rsidP="003B1239">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B724F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EA24ED" w:rsidRPr="00B16A43" w:rsidRDefault="00EA24ED" w:rsidP="00EA24ED">
                  <w:pPr>
                    <w:jc w:val="both"/>
                    <w:rPr>
                      <w:b/>
                      <w:color w:val="000000"/>
                    </w:rPr>
                  </w:pPr>
                  <w:r w:rsidRPr="00B16A43">
                    <w:rPr>
                      <w:rFonts w:cs="Arial"/>
                      <w:b/>
                      <w:color w:val="000000"/>
                    </w:rPr>
                    <w:t xml:space="preserve">Предоставляется только Претендентами, отнесенными к субъектам малого и среднего предпринимательства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w:t>
                  </w:r>
                  <w:r w:rsidRPr="00F84878">
                    <w:rPr>
                      <w:rFonts w:cs="Arial"/>
                      <w:b/>
                      <w:color w:val="000000"/>
                    </w:rPr>
                    <w:lastRenderedPageBreak/>
                    <w:t xml:space="preserve">подтверждено в составе </w:t>
                  </w:r>
                  <w:r>
                    <w:rPr>
                      <w:rFonts w:cs="Arial"/>
                      <w:b/>
                      <w:color w:val="000000"/>
                    </w:rPr>
                    <w:t>З</w:t>
                  </w:r>
                  <w:r w:rsidRPr="00F84878">
                    <w:rPr>
                      <w:rFonts w:cs="Arial"/>
                      <w:b/>
                      <w:color w:val="000000"/>
                    </w:rPr>
                    <w:t>аявки</w:t>
                  </w:r>
                </w:p>
              </w:tc>
            </w:tr>
            <w:tr w:rsidR="007B05A0" w:rsidRPr="00F84878" w:rsidTr="00880CE2">
              <w:tc>
                <w:tcPr>
                  <w:tcW w:w="3675" w:type="dxa"/>
                  <w:shd w:val="clear" w:color="auto" w:fill="auto"/>
                </w:tcPr>
                <w:p w:rsidR="007B05A0" w:rsidRPr="003956A1" w:rsidRDefault="007B05A0" w:rsidP="00880CE2">
                  <w:pPr>
                    <w:numPr>
                      <w:ilvl w:val="0"/>
                      <w:numId w:val="42"/>
                    </w:numPr>
                    <w:ind w:left="62" w:firstLine="298"/>
                    <w:jc w:val="both"/>
                    <w:rPr>
                      <w:rFonts w:cs="Arial"/>
                      <w:b/>
                    </w:rPr>
                  </w:pPr>
                  <w:r w:rsidRPr="007B05A0">
                    <w:rPr>
                      <w:rFonts w:cs="Arial"/>
                    </w:rPr>
                    <w:lastRenderedPageBreak/>
                    <w:t xml:space="preserve">Наличие у претендента </w:t>
                  </w:r>
                  <w:r w:rsidRPr="007B05A0">
                    <w:t>сертификатов в области «Связи» на основании федерального закона о «Связи» от 07.07.2003 N 126-ФЗ (ред. от 21.07.2014)</w:t>
                  </w:r>
                </w:p>
              </w:tc>
              <w:tc>
                <w:tcPr>
                  <w:tcW w:w="3676" w:type="dxa"/>
                  <w:shd w:val="clear" w:color="auto" w:fill="auto"/>
                </w:tcPr>
                <w:p w:rsidR="007B05A0" w:rsidRPr="003956A1" w:rsidRDefault="007B05A0" w:rsidP="00880CE2">
                  <w:pPr>
                    <w:jc w:val="both"/>
                    <w:rPr>
                      <w:rFonts w:cs="Arial"/>
                    </w:rPr>
                  </w:pPr>
                  <w:r w:rsidRPr="007B05A0">
                    <w:rPr>
                      <w:bCs/>
                    </w:rPr>
                    <w:t xml:space="preserve">1. Копия </w:t>
                  </w:r>
                  <w:r w:rsidRPr="007B05A0">
                    <w:t>сертификат</w:t>
                  </w:r>
                  <w:proofErr w:type="gramStart"/>
                  <w:r w:rsidRPr="007B05A0">
                    <w:t>а(</w:t>
                  </w:r>
                  <w:proofErr w:type="spellStart"/>
                  <w:proofErr w:type="gramEnd"/>
                  <w:r w:rsidRPr="007B05A0">
                    <w:t>ов</w:t>
                  </w:r>
                  <w:proofErr w:type="spellEnd"/>
                  <w:r w:rsidRPr="007B05A0">
                    <w:t>) в области «Связи» на основании федерального закона о «Связи» от 07.07.2003 N 126-ФЗ (ред. от 21.07.2014)</w:t>
                  </w:r>
                </w:p>
              </w:tc>
            </w:tr>
            <w:tr w:rsidR="007B05A0" w:rsidRPr="00F84878" w:rsidTr="00880CE2">
              <w:tc>
                <w:tcPr>
                  <w:tcW w:w="3675" w:type="dxa"/>
                  <w:shd w:val="clear" w:color="auto" w:fill="auto"/>
                </w:tcPr>
                <w:p w:rsidR="007B05A0" w:rsidRPr="00B16A43" w:rsidRDefault="007B05A0" w:rsidP="00B16A43">
                  <w:pPr>
                    <w:numPr>
                      <w:ilvl w:val="0"/>
                      <w:numId w:val="42"/>
                    </w:numPr>
                    <w:ind w:left="62" w:firstLine="298"/>
                    <w:jc w:val="both"/>
                    <w:rPr>
                      <w:rFonts w:cs="Arial"/>
                    </w:rPr>
                  </w:pPr>
                  <w:r w:rsidRPr="00B16A43">
                    <w:rPr>
                      <w:rFonts w:cs="Arial"/>
                    </w:rPr>
                    <w:t xml:space="preserve">Наличие у претендента </w:t>
                  </w:r>
                  <w:r w:rsidRPr="00B16A43">
                    <w:rPr>
                      <w:color w:val="000000"/>
                    </w:rPr>
                    <w:t xml:space="preserve">авторизации производителя </w:t>
                  </w:r>
                  <w:r w:rsidR="00B16A43" w:rsidRPr="00B16A43">
                    <w:rPr>
                      <w:color w:val="000000"/>
                    </w:rPr>
                    <w:t>или официального дистрибьютора</w:t>
                  </w:r>
                </w:p>
              </w:tc>
              <w:tc>
                <w:tcPr>
                  <w:tcW w:w="3676" w:type="dxa"/>
                  <w:shd w:val="clear" w:color="auto" w:fill="auto"/>
                </w:tcPr>
                <w:p w:rsidR="007B05A0" w:rsidRPr="00B16A43" w:rsidRDefault="007B05A0" w:rsidP="00B16A43">
                  <w:pPr>
                    <w:pStyle w:val="a4"/>
                    <w:numPr>
                      <w:ilvl w:val="0"/>
                      <w:numId w:val="43"/>
                    </w:numPr>
                    <w:ind w:left="73" w:firstLine="287"/>
                    <w:jc w:val="both"/>
                    <w:rPr>
                      <w:bCs/>
                    </w:rPr>
                  </w:pPr>
                  <w:r w:rsidRPr="00B16A43">
                    <w:rPr>
                      <w:bCs/>
                    </w:rPr>
                    <w:t xml:space="preserve">Копия </w:t>
                  </w:r>
                  <w:proofErr w:type="spellStart"/>
                  <w:r w:rsidRPr="00B16A43">
                    <w:rPr>
                      <w:bCs/>
                    </w:rPr>
                    <w:t>авторизационного</w:t>
                  </w:r>
                  <w:proofErr w:type="spellEnd"/>
                  <w:r w:rsidRPr="00B16A43">
                    <w:rPr>
                      <w:bCs/>
                    </w:rPr>
                    <w:t xml:space="preserve"> письма </w:t>
                  </w:r>
                  <w:r w:rsidRPr="00B16A43">
                    <w:rPr>
                      <w:color w:val="000000"/>
                    </w:rPr>
                    <w:t>производителя или официального дистрибьютор</w:t>
                  </w:r>
                  <w:r w:rsidR="00B16A43" w:rsidRPr="00B16A43">
                    <w:rPr>
                      <w:color w:val="000000"/>
                    </w:rPr>
                    <w:t>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16A43" w:rsidRDefault="00204557" w:rsidP="000B5005">
            <w:pPr>
              <w:pStyle w:val="rvps9"/>
              <w:ind w:firstLine="459"/>
            </w:pPr>
            <w:r w:rsidRPr="00B16A43">
              <w:t xml:space="preserve">Победителем Открытого запроса котировок будет признан Участник, который предложил наиболее низкую цену </w:t>
            </w:r>
            <w:r w:rsidR="009566D8" w:rsidRPr="00B16A43">
              <w:t>единицы товара (работы, услуги)</w:t>
            </w:r>
            <w:r w:rsidRPr="00B16A43">
              <w:t xml:space="preserve">. </w:t>
            </w:r>
          </w:p>
          <w:p w:rsidR="009074B5" w:rsidRPr="00B16A43" w:rsidRDefault="009074B5" w:rsidP="009074B5">
            <w:pPr>
              <w:ind w:firstLine="459"/>
              <w:jc w:val="both"/>
            </w:pPr>
            <w:proofErr w:type="gramStart"/>
            <w:r w:rsidRPr="00B16A43">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Pr="00B16A43" w:rsidRDefault="009074B5" w:rsidP="009074B5">
            <w:pPr>
              <w:pStyle w:val="rvps9"/>
              <w:ind w:firstLine="459"/>
            </w:pPr>
            <w:r w:rsidRPr="00B16A43">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9074B5" w:rsidRPr="00B16A43" w:rsidRDefault="009074B5" w:rsidP="009074B5">
            <w:pPr>
              <w:ind w:firstLine="459"/>
              <w:jc w:val="both"/>
            </w:pPr>
            <w:r w:rsidRPr="00B16A43">
              <w:t xml:space="preserve">Перечень товаров (работ, услуг) с единичными расценками приводится в </w:t>
            </w:r>
            <w:hyperlink w:anchor="_Форма_3_ТЕХНИКО-КОММЕРЧЕСКОЕ" w:history="1">
              <w:r w:rsidRPr="00B16A43">
                <w:rPr>
                  <w:color w:val="0000FF"/>
                  <w:u w:val="single"/>
                </w:rPr>
                <w:t>Техническом</w:t>
              </w:r>
            </w:hyperlink>
            <w:r w:rsidRPr="00B16A43">
              <w:rPr>
                <w:color w:val="0000FF"/>
                <w:u w:val="single"/>
              </w:rPr>
              <w:t xml:space="preserve"> задании</w:t>
            </w:r>
            <w:r w:rsidRPr="00B16A43">
              <w:t xml:space="preserve"> (Приложение №1.2 к настоящей Документации). </w:t>
            </w:r>
          </w:p>
          <w:p w:rsidR="00204557" w:rsidRPr="00B16A43" w:rsidRDefault="009074B5" w:rsidP="003956A1">
            <w:pPr>
              <w:ind w:firstLine="459"/>
              <w:jc w:val="both"/>
            </w:pPr>
            <w:r w:rsidRPr="00B16A43">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w:t>
            </w:r>
            <w:proofErr w:type="gramStart"/>
            <w:r w:rsidRPr="00B16A43">
              <w:t>договора</w:t>
            </w:r>
            <w:proofErr w:type="gramEnd"/>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7"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7"/>
          </w:p>
          <w:p w:rsidR="00204557" w:rsidRPr="00B16A43" w:rsidRDefault="00204557" w:rsidP="000B5005">
            <w:pPr>
              <w:pStyle w:val="rvps9"/>
              <w:ind w:firstLine="459"/>
            </w:pPr>
            <w:proofErr w:type="gramStart"/>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w:t>
            </w:r>
            <w:r w:rsidRPr="00B16A43">
              <w:lastRenderedPageBreak/>
              <w:t>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bookmarkStart w:id="18" w:name="_GoBack"/>
            <w:bookmarkEnd w:id="18"/>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B16A43" w:rsidRDefault="00D51F92" w:rsidP="00D51F92">
            <w:pPr>
              <w:jc w:val="both"/>
              <w:rPr>
                <w:color w:val="000000" w:themeColor="text1"/>
              </w:rPr>
            </w:pPr>
            <w:r w:rsidRPr="00B16A43">
              <w:t xml:space="preserve">Место доставки: Республика Башкортостан,  г. Уфа, </w:t>
            </w:r>
            <w:r w:rsidRPr="00B16A43">
              <w:rPr>
                <w:color w:val="000000" w:themeColor="text1"/>
              </w:rPr>
              <w:t>ул. Каспийская, д.14</w:t>
            </w:r>
            <w:r w:rsidRPr="00B16A43">
              <w:t>,  в соответствии с Техническим заданием (Приложение №1.2 к Документации о закупке).</w:t>
            </w:r>
          </w:p>
          <w:p w:rsidR="00204557" w:rsidRPr="00B16A43" w:rsidRDefault="00D51F92" w:rsidP="00D51F92">
            <w:pPr>
              <w:autoSpaceDE w:val="0"/>
              <w:autoSpaceDN w:val="0"/>
              <w:adjustRightInd w:val="0"/>
              <w:jc w:val="both"/>
              <w:rPr>
                <w:rFonts w:eastAsia="Calibri"/>
                <w:iCs/>
                <w:color w:val="000000"/>
                <w:lang w:eastAsia="en-US"/>
              </w:rPr>
            </w:pPr>
            <w:r w:rsidRPr="00B16A43">
              <w:rPr>
                <w:color w:val="000000" w:themeColor="text1"/>
              </w:rPr>
              <w:t xml:space="preserve">Срок поставки оборудования в полном объеме устанавливается в согласованном Сторонами Заказе, </w:t>
            </w:r>
            <w:r w:rsidRPr="00B16A43">
              <w:t xml:space="preserve">но не может </w:t>
            </w:r>
            <w:r w:rsidRPr="00B16A43">
              <w:rPr>
                <w:color w:val="000000" w:themeColor="text1"/>
              </w:rPr>
              <w:t xml:space="preserve">превышать 60 (шестьдесят) </w:t>
            </w:r>
            <w:r w:rsidRPr="00B16A43">
              <w:t xml:space="preserve">календарных дней </w:t>
            </w:r>
            <w:proofErr w:type="gramStart"/>
            <w:r w:rsidRPr="00B16A43">
              <w:t>с даты подписания</w:t>
            </w:r>
            <w:proofErr w:type="gramEnd"/>
            <w:r w:rsidRPr="00B16A43">
              <w:t xml:space="preserve">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B05A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w:t>
            </w:r>
            <w:r>
              <w:lastRenderedPageBreak/>
              <w:t>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B05A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7B05A0">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B05A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B05A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B05A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B05A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 xml:space="preserve">Технические требования (Приложение №1.1 к </w:t>
      </w:r>
      <w:r w:rsidR="00D51F92">
        <w:t>Документации о закупке</w:t>
      </w:r>
      <w:r w:rsidR="00E90D2C">
        <w:t xml:space="preserve">), </w:t>
      </w:r>
      <w:r w:rsidR="009074B5">
        <w:t>Техническое задание</w:t>
      </w:r>
      <w:r w:rsidR="009F7A0A" w:rsidRPr="009F7A0A">
        <w:t xml:space="preserve"> (Приложение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w:t>
      </w:r>
      <w:proofErr w:type="gramEnd"/>
      <w:r w:rsidR="00D51F92">
        <w:t xml:space="preserve"> </w:t>
      </w:r>
      <w:proofErr w:type="gramStart"/>
      <w:r w:rsidR="00D51F92">
        <w:t>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C08" w:rsidRDefault="008D2C08" w:rsidP="0014229A">
      <w:r>
        <w:separator/>
      </w:r>
    </w:p>
  </w:endnote>
  <w:endnote w:type="continuationSeparator" w:id="0">
    <w:p w:rsidR="008D2C08" w:rsidRDefault="008D2C0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C08" w:rsidRDefault="008D2C08" w:rsidP="0014229A">
      <w:r>
        <w:separator/>
      </w:r>
    </w:p>
  </w:footnote>
  <w:footnote w:type="continuationSeparator" w:id="0">
    <w:p w:rsidR="008D2C08" w:rsidRDefault="008D2C0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4B5" w:rsidRDefault="009074B5">
    <w:pPr>
      <w:pStyle w:val="a5"/>
      <w:jc w:val="center"/>
    </w:pPr>
    <w:r>
      <w:fldChar w:fldCharType="begin"/>
    </w:r>
    <w:r>
      <w:instrText>PAGE   \* MERGEFORMAT</w:instrText>
    </w:r>
    <w:r>
      <w:fldChar w:fldCharType="separate"/>
    </w:r>
    <w:r w:rsidR="00B16A43">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14F31"/>
    <w:rsid w:val="00231D75"/>
    <w:rsid w:val="002418ED"/>
    <w:rsid w:val="0026485E"/>
    <w:rsid w:val="00294822"/>
    <w:rsid w:val="002C0628"/>
    <w:rsid w:val="003042B3"/>
    <w:rsid w:val="0032055F"/>
    <w:rsid w:val="00321D82"/>
    <w:rsid w:val="0033356E"/>
    <w:rsid w:val="00356561"/>
    <w:rsid w:val="00373528"/>
    <w:rsid w:val="00393AC3"/>
    <w:rsid w:val="003956A1"/>
    <w:rsid w:val="003B25CB"/>
    <w:rsid w:val="003C5771"/>
    <w:rsid w:val="003E3508"/>
    <w:rsid w:val="003E6C99"/>
    <w:rsid w:val="00401F71"/>
    <w:rsid w:val="00406852"/>
    <w:rsid w:val="00411612"/>
    <w:rsid w:val="0043434A"/>
    <w:rsid w:val="00461191"/>
    <w:rsid w:val="00464FEB"/>
    <w:rsid w:val="004A2922"/>
    <w:rsid w:val="004C05AA"/>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B05A0"/>
    <w:rsid w:val="007E34B5"/>
    <w:rsid w:val="008239AB"/>
    <w:rsid w:val="0083262D"/>
    <w:rsid w:val="00852B1E"/>
    <w:rsid w:val="008662B0"/>
    <w:rsid w:val="00871F27"/>
    <w:rsid w:val="00877DFC"/>
    <w:rsid w:val="008A40EB"/>
    <w:rsid w:val="008B1F3D"/>
    <w:rsid w:val="008C24AE"/>
    <w:rsid w:val="008C6A98"/>
    <w:rsid w:val="008D2C08"/>
    <w:rsid w:val="008D5F3A"/>
    <w:rsid w:val="009074B5"/>
    <w:rsid w:val="009566D8"/>
    <w:rsid w:val="0098318C"/>
    <w:rsid w:val="00992571"/>
    <w:rsid w:val="009A662F"/>
    <w:rsid w:val="009C497D"/>
    <w:rsid w:val="009F7A0A"/>
    <w:rsid w:val="00A02B2E"/>
    <w:rsid w:val="00A07823"/>
    <w:rsid w:val="00A27D60"/>
    <w:rsid w:val="00A4553E"/>
    <w:rsid w:val="00A47FAD"/>
    <w:rsid w:val="00A667E3"/>
    <w:rsid w:val="00A766E5"/>
    <w:rsid w:val="00A846E6"/>
    <w:rsid w:val="00AB0FBA"/>
    <w:rsid w:val="00AC0C1E"/>
    <w:rsid w:val="00AD2C72"/>
    <w:rsid w:val="00B16A43"/>
    <w:rsid w:val="00B37EB4"/>
    <w:rsid w:val="00B724F8"/>
    <w:rsid w:val="00BA7B82"/>
    <w:rsid w:val="00C20F72"/>
    <w:rsid w:val="00C327CC"/>
    <w:rsid w:val="00C675FE"/>
    <w:rsid w:val="00C72676"/>
    <w:rsid w:val="00C77202"/>
    <w:rsid w:val="00C86F9B"/>
    <w:rsid w:val="00C92A83"/>
    <w:rsid w:val="00CD03D5"/>
    <w:rsid w:val="00D24B80"/>
    <w:rsid w:val="00D3453E"/>
    <w:rsid w:val="00D4565D"/>
    <w:rsid w:val="00D51F92"/>
    <w:rsid w:val="00D61729"/>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Timofee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F9BE4-BA95-47A5-B9FE-CCCF3427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19</Pages>
  <Words>7802</Words>
  <Characters>44473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21</cp:revision>
  <cp:lastPrinted>2016-02-15T09:32:00Z</cp:lastPrinted>
  <dcterms:created xsi:type="dcterms:W3CDTF">2015-10-16T09:47:00Z</dcterms:created>
  <dcterms:modified xsi:type="dcterms:W3CDTF">2016-03-09T11:12:00Z</dcterms:modified>
</cp:coreProperties>
</file>