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245A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245A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245A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43526C"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78652E"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26485E" w:rsidRDefault="000F4823" w:rsidP="000F4823">
            <w:pPr>
              <w:pStyle w:val="Default"/>
              <w:jc w:val="both"/>
              <w:rPr>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6"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r w:rsidRPr="000F4823">
                <w:rPr>
                  <w:rStyle w:val="a3"/>
                  <w:bCs/>
                  <w:lang w:val="en-US"/>
                </w:rPr>
                <w:t>ru</w:t>
              </w:r>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78652E" w:rsidRPr="0078652E" w:rsidRDefault="0078652E" w:rsidP="0078652E">
            <w:pPr>
              <w:autoSpaceDE w:val="0"/>
              <w:autoSpaceDN w:val="0"/>
              <w:adjustRightInd w:val="0"/>
              <w:rPr>
                <w:rFonts w:eastAsia="Calibri"/>
                <w:iCs/>
                <w:color w:val="000000"/>
                <w:lang w:eastAsia="en-US"/>
              </w:rPr>
            </w:pPr>
            <w:r w:rsidRPr="0078652E">
              <w:rPr>
                <w:rFonts w:eastAsia="Calibri"/>
                <w:iCs/>
                <w:color w:val="000000"/>
                <w:lang w:eastAsia="en-US"/>
              </w:rPr>
              <w:t>Хайретдинов Артур Рашидович</w:t>
            </w:r>
          </w:p>
          <w:p w:rsidR="0014229A" w:rsidRPr="00D576D1" w:rsidRDefault="0078652E" w:rsidP="0078652E">
            <w:pPr>
              <w:pStyle w:val="Default"/>
            </w:pPr>
            <w:r w:rsidRPr="0078652E">
              <w:rPr>
                <w:bCs/>
              </w:rPr>
              <w:t>тел</w:t>
            </w:r>
            <w:r w:rsidRPr="00D576D1">
              <w:rPr>
                <w:bCs/>
              </w:rPr>
              <w:t xml:space="preserve">. + 7 (347)2215426 </w:t>
            </w:r>
            <w:r w:rsidRPr="0078652E">
              <w:rPr>
                <w:bCs/>
                <w:lang w:val="en-US"/>
              </w:rPr>
              <w:t>e</w:t>
            </w:r>
            <w:r w:rsidRPr="00D576D1">
              <w:rPr>
                <w:bCs/>
              </w:rPr>
              <w:t>-</w:t>
            </w:r>
            <w:r w:rsidRPr="0078652E">
              <w:rPr>
                <w:bCs/>
                <w:lang w:val="en-US"/>
              </w:rPr>
              <w:t>mail</w:t>
            </w:r>
            <w:r w:rsidRPr="00D576D1">
              <w:rPr>
                <w:bCs/>
              </w:rPr>
              <w:t>:</w:t>
            </w:r>
            <w:r w:rsidRPr="00D576D1">
              <w:rPr>
                <w:rFonts w:eastAsia="Times New Roman"/>
                <w:color w:val="777777"/>
                <w:lang w:eastAsia="ru-RU"/>
              </w:rPr>
              <w:t xml:space="preserve"> </w:t>
            </w:r>
            <w:r w:rsidRPr="0078652E">
              <w:rPr>
                <w:bCs/>
                <w:lang w:val="en-US"/>
              </w:rPr>
              <w:t>a</w:t>
            </w:r>
            <w:r w:rsidRPr="00D576D1">
              <w:rPr>
                <w:bCs/>
              </w:rPr>
              <w:t>.</w:t>
            </w:r>
            <w:r w:rsidRPr="0078652E">
              <w:rPr>
                <w:bCs/>
                <w:lang w:val="en-US"/>
              </w:rPr>
              <w:t>hajretdinov</w:t>
            </w:r>
            <w:r w:rsidRPr="00D576D1">
              <w:rPr>
                <w:bCs/>
              </w:rPr>
              <w:t xml:space="preserve"> @</w:t>
            </w:r>
            <w:r w:rsidRPr="0078652E">
              <w:rPr>
                <w:bCs/>
                <w:lang w:val="en-US"/>
              </w:rPr>
              <w:t>bashtel</w:t>
            </w:r>
            <w:r w:rsidRPr="00D576D1">
              <w:rPr>
                <w:bCs/>
              </w:rPr>
              <w:t>.</w:t>
            </w:r>
            <w:r w:rsidRPr="0078652E">
              <w:rPr>
                <w:bCs/>
                <w:lang w:val="en-US"/>
              </w:rPr>
              <w:t>ru</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D576D1"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E58BA">
            <w:r>
              <w:t>«0</w:t>
            </w:r>
            <w:r w:rsidR="005E58BA">
              <w:t>9</w:t>
            </w:r>
            <w:r w:rsidR="0014229A" w:rsidRPr="005C24A0">
              <w:t>»</w:t>
            </w:r>
            <w:r>
              <w:rPr>
                <w:lang w:val="en-US"/>
              </w:rPr>
              <w:t xml:space="preserve"> </w:t>
            </w:r>
            <w:r>
              <w:t>октября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7"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«09» октября 2015 г. в 1</w:t>
            </w:r>
            <w:r w:rsidR="00063084">
              <w:t>7</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 xml:space="preserve">«20» октября 2015 года в 10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5E58BA" w:rsidP="0078652E">
            <w:pPr>
              <w:rPr>
                <w:highlight w:val="lightGray"/>
              </w:rPr>
            </w:pPr>
            <w:r>
              <w:t>20</w:t>
            </w:r>
            <w:r w:rsidRPr="00607E86">
              <w:t xml:space="preserve">» </w:t>
            </w:r>
            <w:r>
              <w:t>октября</w:t>
            </w:r>
            <w:r w:rsidRPr="00607E86">
              <w:t xml:space="preserve"> 20</w:t>
            </w:r>
            <w:r>
              <w:t>15</w:t>
            </w:r>
            <w:r w:rsidRPr="00607E86">
              <w:t xml:space="preserve"> года </w:t>
            </w:r>
            <w:r>
              <w:t xml:space="preserve">в </w:t>
            </w:r>
            <w:r w:rsidR="0078652E">
              <w:t>10</w:t>
            </w:r>
            <w:r>
              <w:t xml:space="preserve"> часов 00 минут</w:t>
            </w:r>
            <w:r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5E58BA">
              <w:t>2</w:t>
            </w:r>
            <w:r w:rsidRPr="000F4823">
              <w:t xml:space="preserve">1» октября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«2</w:t>
            </w:r>
            <w:r w:rsidR="005E58BA">
              <w:t>2</w:t>
            </w:r>
            <w:r w:rsidRPr="000F4823">
              <w:t>» октября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042B3">
              <w:t>30</w:t>
            </w:r>
            <w:r w:rsidRPr="000F4823">
              <w:t xml:space="preserve">» октября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78652E" w:rsidP="0078652E">
            <w:pPr>
              <w:jc w:val="both"/>
            </w:pPr>
            <w:r w:rsidRPr="0078652E">
              <w:t xml:space="preserve">2 (два) победителя </w:t>
            </w:r>
          </w:p>
          <w:p w:rsidR="0078652E" w:rsidRPr="0078652E" w:rsidRDefault="0078652E" w:rsidP="0078652E">
            <w:pPr>
              <w:jc w:val="both"/>
              <w:rPr>
                <w:iCs/>
              </w:rPr>
            </w:pPr>
            <w:r w:rsidRPr="0078652E">
              <w:rPr>
                <w:i/>
                <w:color w:val="FF0000"/>
              </w:rPr>
              <w:t xml:space="preserve"> </w:t>
            </w:r>
            <w:r w:rsidRPr="0078652E">
              <w:rPr>
                <w:iCs/>
              </w:rPr>
              <w:t xml:space="preserve">Победителями </w:t>
            </w:r>
            <w:r w:rsidRPr="0078652E">
              <w:t xml:space="preserve">открытого </w:t>
            </w:r>
            <w:r>
              <w:t>запроса предложений</w:t>
            </w:r>
            <w:r w:rsidRPr="0078652E">
              <w:rPr>
                <w:iCs/>
              </w:rPr>
              <w:t xml:space="preserve"> могут быть признаны первые 2 (два) Участника, набравшие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78652E" w:rsidRPr="0078652E" w:rsidRDefault="0078652E" w:rsidP="0078652E">
            <w:pPr>
              <w:jc w:val="both"/>
              <w:rPr>
                <w:iCs/>
              </w:rPr>
            </w:pPr>
            <w:r w:rsidRPr="0078652E">
              <w:rPr>
                <w:iCs/>
              </w:rPr>
              <w:t>Участник под номером два может быть признан Победителем при условии, что цена договора, предложенная Участником под номером два, будет снижена и равна цене договора Участника под номером один. О своем согласии Участник под номером два обязан сообщить Заказчику до даты подведения итогов закупки, указанных в п.</w:t>
            </w:r>
            <w:r>
              <w:rPr>
                <w:iCs/>
              </w:rPr>
              <w:t xml:space="preserve">8 </w:t>
            </w:r>
            <w:r w:rsidRPr="0078652E">
              <w:rPr>
                <w:iCs/>
              </w:rPr>
              <w:t xml:space="preserve">настоящей Документации об открытом </w:t>
            </w:r>
            <w:r>
              <w:t>запросе предложений</w:t>
            </w:r>
            <w:r w:rsidRPr="0078652E">
              <w:rPr>
                <w:iCs/>
              </w:rPr>
              <w:t>.</w:t>
            </w:r>
          </w:p>
          <w:p w:rsidR="0078652E" w:rsidRPr="0078652E" w:rsidRDefault="0078652E" w:rsidP="0078652E">
            <w:pPr>
              <w:jc w:val="both"/>
              <w:rPr>
                <w:iCs/>
              </w:rPr>
            </w:pPr>
            <w:r w:rsidRPr="0078652E">
              <w:rPr>
                <w:iCs/>
              </w:rPr>
              <w:t>В случае признания двух Участников Победителями Открытого конкурса общий планируемый объём Работ по Лоту распределяется между Победителями в следующем соотношении:</w:t>
            </w:r>
          </w:p>
          <w:p w:rsidR="0078652E" w:rsidRPr="0078652E" w:rsidRDefault="0078652E" w:rsidP="0078652E">
            <w:pPr>
              <w:ind w:firstLine="34"/>
              <w:jc w:val="both"/>
              <w:rPr>
                <w:iCs/>
              </w:rPr>
            </w:pPr>
            <w:r w:rsidRPr="0078652E">
              <w:rPr>
                <w:iCs/>
              </w:rPr>
              <w:t>Участнику, заявке которого присвоен №1 – 60% от общего объёма Работ по Лоту;</w:t>
            </w:r>
          </w:p>
          <w:p w:rsidR="0078652E" w:rsidRPr="0078652E" w:rsidRDefault="0078652E" w:rsidP="0078652E">
            <w:pPr>
              <w:ind w:firstLine="34"/>
              <w:jc w:val="both"/>
              <w:rPr>
                <w:iCs/>
              </w:rPr>
            </w:pPr>
            <w:r w:rsidRPr="0078652E">
              <w:rPr>
                <w:iCs/>
              </w:rPr>
              <w:t>Участнику, заявке которого присвоен №2 – 40% от общего объёма Работ по Лоту.</w:t>
            </w:r>
          </w:p>
          <w:p w:rsidR="0014229A" w:rsidRPr="005C24A0" w:rsidRDefault="0078652E" w:rsidP="0078652E">
            <w:pPr>
              <w:jc w:val="both"/>
            </w:pPr>
            <w:r w:rsidRPr="0078652E">
              <w:t xml:space="preserve">В случае признания одного Участника Победителем Открытого конкурса </w:t>
            </w:r>
            <w:r w:rsidRPr="0078652E">
              <w:rPr>
                <w:iCs/>
              </w:rPr>
              <w:t>общий планируемый объём Работ по Лоту составит – 100%</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78652E" w:rsidP="0078652E">
            <w:pPr>
              <w:autoSpaceDE w:val="0"/>
              <w:autoSpaceDN w:val="0"/>
              <w:adjustRightInd w:val="0"/>
              <w:jc w:val="both"/>
            </w:pPr>
            <w:r w:rsidRPr="0078652E">
              <w:rPr>
                <w:b/>
              </w:rPr>
              <w:t xml:space="preserve">Выполнение подрядных работ по строительству сети </w:t>
            </w:r>
            <w:r w:rsidRPr="0078652E">
              <w:rPr>
                <w:b/>
                <w:lang w:val="en-US"/>
              </w:rPr>
              <w:t>FTTB</w:t>
            </w:r>
            <w:r w:rsidRPr="0078652E">
              <w:rPr>
                <w:b/>
              </w:rPr>
              <w:t xml:space="preserve"> г. Уфа 7 этап  </w:t>
            </w:r>
            <w:r w:rsidRPr="0078652E">
              <w:t xml:space="preserve"> </w:t>
            </w:r>
          </w:p>
          <w:p w:rsidR="0078652E" w:rsidRPr="0078652E" w:rsidRDefault="0078652E" w:rsidP="0078652E">
            <w:pPr>
              <w:autoSpaceDE w:val="0"/>
              <w:autoSpaceDN w:val="0"/>
              <w:adjustRightInd w:val="0"/>
              <w:jc w:val="both"/>
              <w:rPr>
                <w:rFonts w:eastAsia="Calibri"/>
              </w:rPr>
            </w:pPr>
          </w:p>
          <w:p w:rsidR="0014229A" w:rsidRPr="00227C39" w:rsidRDefault="0078652E" w:rsidP="0078652E">
            <w:pPr>
              <w:pStyle w:val="Default"/>
              <w:jc w:val="both"/>
              <w:rPr>
                <w:iCs/>
              </w:rPr>
            </w:pPr>
            <w:r w:rsidRPr="0078652E">
              <w:rPr>
                <w:color w:val="auto"/>
                <w:lang w:eastAsia="ru-RU"/>
              </w:rPr>
              <w:t xml:space="preserve">      </w:t>
            </w:r>
            <w:r w:rsidRPr="0078652E">
              <w:rPr>
                <w:rFonts w:eastAsia="Times New Roman"/>
                <w:color w:val="auto"/>
                <w:lang w:eastAsia="ru-RU"/>
              </w:rPr>
              <w:t>Состав и объем работ и иные технические требования к работам определяются Техническим заданием (Приложение №1 к настоящему Извещению), адресным планом (Приложение №1. К Техническому заданию) 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w:t>
            </w:r>
            <w:r w:rsidRPr="0039385A">
              <w:lastRenderedPageBreak/>
              <w:t>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78652E" w:rsidP="0078652E">
            <w:pPr>
              <w:jc w:val="both"/>
            </w:pPr>
            <w:r w:rsidRPr="0078652E">
              <w:lastRenderedPageBreak/>
              <w:t xml:space="preserve">Срок гарантии нормальной  и бесперебойной работы – 24 месяца </w:t>
            </w:r>
            <w:r w:rsidRPr="0078652E">
              <w:rPr>
                <w:szCs w:val="20"/>
              </w:rPr>
              <w:t>со дня подписания акта приемки.</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7B82" w:rsidRPr="00BA7B82" w:rsidRDefault="00BA7B82" w:rsidP="00BA7B82">
            <w:pPr>
              <w:autoSpaceDE w:val="0"/>
              <w:autoSpaceDN w:val="0"/>
              <w:adjustRightInd w:val="0"/>
              <w:jc w:val="both"/>
              <w:rPr>
                <w:rFonts w:eastAsia="Calibri"/>
                <w:b/>
                <w:iCs/>
                <w:color w:val="000000"/>
                <w:lang w:eastAsia="en-US"/>
              </w:rPr>
            </w:pPr>
            <w:r w:rsidRPr="00BA7B82">
              <w:rPr>
                <w:rFonts w:eastAsia="Calibri"/>
                <w:b/>
                <w:iCs/>
                <w:color w:val="000000"/>
                <w:lang w:eastAsia="en-US"/>
              </w:rPr>
              <w:t>Лот № 1</w:t>
            </w:r>
          </w:p>
          <w:p w:rsidR="0078652E" w:rsidRPr="0078652E" w:rsidRDefault="0078652E" w:rsidP="0078652E">
            <w:pPr>
              <w:autoSpaceDE w:val="0"/>
              <w:autoSpaceDN w:val="0"/>
              <w:adjustRightInd w:val="0"/>
              <w:jc w:val="both"/>
              <w:rPr>
                <w:rFonts w:eastAsia="Calibri"/>
                <w:b/>
                <w:iCs/>
                <w:lang w:eastAsia="en-US"/>
              </w:rPr>
            </w:pPr>
            <w:r w:rsidRPr="0078652E">
              <w:rPr>
                <w:rFonts w:eastAsia="Calibri"/>
                <w:b/>
                <w:iCs/>
                <w:lang w:eastAsia="en-US"/>
              </w:rPr>
              <w:t xml:space="preserve">4 484 090 рублей 00 копеек, без учета НДС </w:t>
            </w:r>
          </w:p>
          <w:p w:rsidR="0078652E" w:rsidRPr="0078652E" w:rsidRDefault="0078652E" w:rsidP="0078652E">
            <w:pPr>
              <w:autoSpaceDE w:val="0"/>
              <w:autoSpaceDN w:val="0"/>
              <w:adjustRightInd w:val="0"/>
              <w:jc w:val="both"/>
              <w:rPr>
                <w:rFonts w:eastAsia="Calibri"/>
                <w:b/>
                <w:iCs/>
                <w:lang w:eastAsia="en-US"/>
              </w:rPr>
            </w:pPr>
          </w:p>
          <w:p w:rsidR="0078652E" w:rsidRPr="0078652E" w:rsidRDefault="0078652E" w:rsidP="0078652E">
            <w:pPr>
              <w:autoSpaceDE w:val="0"/>
              <w:autoSpaceDN w:val="0"/>
              <w:adjustRightInd w:val="0"/>
              <w:jc w:val="both"/>
              <w:rPr>
                <w:rFonts w:eastAsiaTheme="minorHAnsi"/>
                <w:lang w:eastAsia="en-US"/>
              </w:rPr>
            </w:pPr>
            <w:r w:rsidRPr="0078652E">
              <w:rPr>
                <w:rFonts w:eastAsiaTheme="minorHAnsi"/>
                <w:lang w:eastAsia="en-U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78652E" w:rsidRPr="0078652E" w:rsidRDefault="0078652E" w:rsidP="0078652E">
            <w:pPr>
              <w:autoSpaceDE w:val="0"/>
              <w:autoSpaceDN w:val="0"/>
              <w:adjustRightInd w:val="0"/>
              <w:jc w:val="both"/>
              <w:rPr>
                <w:rFonts w:eastAsiaTheme="minorHAnsi"/>
                <w:lang w:eastAsia="en-US"/>
              </w:rPr>
            </w:pPr>
          </w:p>
          <w:p w:rsidR="0078652E" w:rsidRDefault="0078652E" w:rsidP="0078652E">
            <w:pPr>
              <w:tabs>
                <w:tab w:val="left" w:pos="851"/>
              </w:tabs>
              <w:jc w:val="both"/>
            </w:pPr>
            <w:r w:rsidRPr="0078652E">
              <w:t>В случае, если участник</w:t>
            </w:r>
            <w:r w:rsidRPr="0078652E">
              <w:rPr>
                <w:b/>
              </w:rPr>
              <w:t xml:space="preserve"> </w:t>
            </w:r>
            <w:r w:rsidRPr="0078652E">
              <w:t xml:space="preserve">является плательщиком НДС, налог будет начислен сверх стоимости лота. </w:t>
            </w:r>
          </w:p>
          <w:p w:rsidR="005807EB" w:rsidRDefault="005807EB" w:rsidP="0078652E">
            <w:pPr>
              <w:tabs>
                <w:tab w:val="left" w:pos="851"/>
              </w:tabs>
              <w:jc w:val="both"/>
            </w:pPr>
          </w:p>
          <w:p w:rsidR="005807EB" w:rsidRPr="0078652E" w:rsidRDefault="005807EB" w:rsidP="005807EB">
            <w:pPr>
              <w:jc w:val="both"/>
              <w:rPr>
                <w:iCs/>
              </w:rPr>
            </w:pPr>
            <w:r w:rsidRPr="0078652E">
              <w:rPr>
                <w:iCs/>
              </w:rPr>
              <w:t xml:space="preserve">Победителями </w:t>
            </w:r>
            <w:r w:rsidRPr="0078652E">
              <w:t xml:space="preserve">открытого </w:t>
            </w:r>
            <w:r>
              <w:t>запроса предложений</w:t>
            </w:r>
            <w:r w:rsidRPr="0078652E">
              <w:rPr>
                <w:iCs/>
              </w:rPr>
              <w:t xml:space="preserve"> могут быть признаны первые 2 (два) Участника, набравшие высший балл. На этапе 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5807EB" w:rsidRPr="0078652E" w:rsidRDefault="005807EB" w:rsidP="005807EB">
            <w:pPr>
              <w:jc w:val="both"/>
              <w:rPr>
                <w:iCs/>
              </w:rPr>
            </w:pPr>
            <w:r w:rsidRPr="0078652E">
              <w:rPr>
                <w:iCs/>
              </w:rPr>
              <w:t xml:space="preserve">Участник под номером два может быть признан Победителем при условии, что цена договора, предложенная Участником под номером два, будет снижена и равна цене договора Участника под номером один. О своем согласии Участник под номером два обязан сообщить Заказчику до даты </w:t>
            </w:r>
            <w:r w:rsidR="00AD6F23">
              <w:rPr>
                <w:iCs/>
              </w:rPr>
              <w:t>п</w:t>
            </w:r>
            <w:r w:rsidRPr="0078652E">
              <w:rPr>
                <w:iCs/>
              </w:rPr>
              <w:t>одведения итогов закупки, указанных в п.</w:t>
            </w:r>
            <w:r>
              <w:rPr>
                <w:iCs/>
              </w:rPr>
              <w:t xml:space="preserve">8 </w:t>
            </w:r>
            <w:r w:rsidRPr="0078652E">
              <w:rPr>
                <w:iCs/>
              </w:rPr>
              <w:t xml:space="preserve">настоящей Документации об открытом </w:t>
            </w:r>
            <w:r>
              <w:t>запросе предложений</w:t>
            </w:r>
            <w:r w:rsidRPr="0078652E">
              <w:rPr>
                <w:iCs/>
              </w:rPr>
              <w:t>.</w:t>
            </w:r>
          </w:p>
          <w:p w:rsidR="005807EB" w:rsidRPr="0078652E" w:rsidRDefault="005807EB" w:rsidP="005807EB">
            <w:pPr>
              <w:jc w:val="both"/>
              <w:rPr>
                <w:iCs/>
              </w:rPr>
            </w:pPr>
            <w:r w:rsidRPr="0078652E">
              <w:rPr>
                <w:iCs/>
              </w:rPr>
              <w:lastRenderedPageBreak/>
              <w:t>В случае признания двух Участников Победителями Открытого конкурса общий планируемый объём Работ по Лоту распределяется между Победителями в следующем соотношении:</w:t>
            </w:r>
          </w:p>
          <w:p w:rsidR="005807EB" w:rsidRPr="0078652E" w:rsidRDefault="005807EB" w:rsidP="005807EB">
            <w:pPr>
              <w:ind w:firstLine="34"/>
              <w:jc w:val="both"/>
              <w:rPr>
                <w:iCs/>
              </w:rPr>
            </w:pPr>
            <w:r w:rsidRPr="0078652E">
              <w:rPr>
                <w:iCs/>
              </w:rPr>
              <w:t>Участнику, заявке которого присвоен №1 – 60% от общего объёма Работ по Лоту;</w:t>
            </w:r>
          </w:p>
          <w:p w:rsidR="005807EB" w:rsidRPr="0078652E" w:rsidRDefault="005807EB" w:rsidP="005807EB">
            <w:pPr>
              <w:ind w:firstLine="34"/>
              <w:jc w:val="both"/>
              <w:rPr>
                <w:iCs/>
              </w:rPr>
            </w:pPr>
            <w:r w:rsidRPr="0078652E">
              <w:rPr>
                <w:iCs/>
              </w:rPr>
              <w:t>Участнику, заявке которого присвоен №2 – 40% от общего объёма Работ по Лоту.</w:t>
            </w:r>
          </w:p>
          <w:p w:rsidR="005807EB" w:rsidRPr="0078652E" w:rsidRDefault="005807EB" w:rsidP="005807EB">
            <w:pPr>
              <w:tabs>
                <w:tab w:val="left" w:pos="851"/>
              </w:tabs>
              <w:jc w:val="both"/>
            </w:pPr>
            <w:r w:rsidRPr="0078652E">
              <w:t xml:space="preserve">В случае признания одного Участника Победителем Открытого конкурса </w:t>
            </w:r>
            <w:r w:rsidRPr="0078652E">
              <w:rPr>
                <w:iCs/>
              </w:rPr>
              <w:t>общий планируемый объём Работ по Лоту составит – 100%</w:t>
            </w:r>
          </w:p>
          <w:p w:rsidR="0014229A" w:rsidRPr="00235AF8" w:rsidRDefault="0014229A" w:rsidP="000F4823">
            <w:pPr>
              <w:ind w:firstLine="34"/>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w:t>
                  </w:r>
                  <w:r w:rsidRPr="00D82466">
                    <w:rPr>
                      <w:rFonts w:cs="Arial"/>
                      <w:color w:val="000000"/>
                    </w:rPr>
                    <w:lastRenderedPageBreak/>
                    <w:t>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F84878" w:rsidRDefault="0014229A" w:rsidP="003B25CB">
            <w:pPr>
              <w:jc w:val="both"/>
              <w:rPr>
                <w:b/>
              </w:rPr>
            </w:pPr>
            <w:r w:rsidRPr="00F84878">
              <w:rPr>
                <w:b/>
              </w:rPr>
              <w:t>Дополнительные требования:</w:t>
            </w:r>
          </w:p>
          <w:tbl>
            <w:tblP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895"/>
            </w:tblGrid>
            <w:tr w:rsidR="0014229A" w:rsidRPr="00F84878" w:rsidTr="00BA7B82">
              <w:tc>
                <w:tcPr>
                  <w:tcW w:w="3760" w:type="dxa"/>
                  <w:shd w:val="clear" w:color="auto" w:fill="auto"/>
                </w:tcPr>
                <w:p w:rsidR="0014229A" w:rsidRPr="00F84878" w:rsidRDefault="0014229A" w:rsidP="003B25C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14229A" w:rsidRPr="00F84878" w:rsidRDefault="0014229A" w:rsidP="00BA7B82">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4229A" w:rsidRPr="00F84878" w:rsidTr="00BA7B82">
              <w:tc>
                <w:tcPr>
                  <w:tcW w:w="3760" w:type="dxa"/>
                  <w:shd w:val="clear" w:color="auto" w:fill="auto"/>
                </w:tcPr>
                <w:p w:rsidR="00C84DFD" w:rsidRDefault="00C84DFD" w:rsidP="00C84DFD">
                  <w:pPr>
                    <w:tabs>
                      <w:tab w:val="left" w:pos="18"/>
                    </w:tabs>
                    <w:ind w:left="81"/>
                    <w:jc w:val="both"/>
                  </w:pPr>
                  <w:r w:rsidRPr="00C84DFD">
                    <w:t>Наличие членства в СРО и свидетельства члена СРО на выполнение строительно-монтажных работ, соответствующих предмету закупки, включая Виды работ по строительству, реконструкции и капитальному ремонту (в соответствии с Раздел</w:t>
                  </w:r>
                  <w:r w:rsidR="001F7110">
                    <w:t>о</w:t>
                  </w:r>
                  <w:r w:rsidRPr="00C84DFD">
                    <w:t>м III Виды работ по строительству, реконструкции и капитальному ремонту Перечня видов работ к Приказу Минрегионразвития РФ №624 от 30.12.2009г.)</w:t>
                  </w:r>
                </w:p>
                <w:p w:rsidR="00C84DFD" w:rsidRDefault="00C84DFD" w:rsidP="00C84DFD">
                  <w:pPr>
                    <w:tabs>
                      <w:tab w:val="left" w:pos="18"/>
                    </w:tabs>
                    <w:ind w:left="81"/>
                    <w:jc w:val="both"/>
                  </w:pPr>
                </w:p>
                <w:p w:rsidR="0014229A" w:rsidRPr="00ED7BA7" w:rsidRDefault="0014229A" w:rsidP="00C84DFD">
                  <w:pPr>
                    <w:tabs>
                      <w:tab w:val="left" w:pos="18"/>
                    </w:tabs>
                    <w:ind w:left="81"/>
                    <w:jc w:val="both"/>
                    <w:rPr>
                      <w:rFonts w:cs="Arial"/>
                      <w:b/>
                      <w:i/>
                      <w:color w:val="FF0000"/>
                      <w:highlight w:val="cyan"/>
                    </w:rPr>
                  </w:pPr>
                </w:p>
              </w:tc>
              <w:tc>
                <w:tcPr>
                  <w:tcW w:w="3895" w:type="dxa"/>
                  <w:shd w:val="clear" w:color="auto" w:fill="auto"/>
                </w:tcPr>
                <w:p w:rsidR="00C84DFD" w:rsidRPr="001A3D9B" w:rsidRDefault="00113692" w:rsidP="005E04C1">
                  <w:pPr>
                    <w:widowControl w:val="0"/>
                    <w:autoSpaceDE w:val="0"/>
                    <w:autoSpaceDN w:val="0"/>
                    <w:adjustRightInd w:val="0"/>
                    <w:ind w:right="261"/>
                    <w:jc w:val="both"/>
                    <w:outlineLvl w:val="1"/>
                  </w:pPr>
                  <w:r w:rsidRPr="00113692">
                    <w:rPr>
                      <w:b/>
                    </w:rPr>
                    <w:lastRenderedPageBreak/>
                    <w:t>Копи</w:t>
                  </w:r>
                  <w:r>
                    <w:rPr>
                      <w:b/>
                    </w:rPr>
                    <w:t>ей</w:t>
                  </w:r>
                  <w:r w:rsidRPr="00113692">
                    <w:rPr>
                      <w:b/>
                    </w:rPr>
                    <w:t xml:space="preserve"> свидетельства СРО </w:t>
                  </w:r>
                  <w:r w:rsidRPr="00113692">
                    <w:t>о допуске на проведение строительно-монтажных работ (Виды работ по строительству, рекон</w:t>
                  </w:r>
                  <w:r>
                    <w:t>струкции и капитальному ремонту)</w:t>
                  </w:r>
                  <w:r w:rsidR="00C84DFD">
                    <w:t xml:space="preserve">, </w:t>
                  </w:r>
                  <w:r w:rsidR="00C84DFD" w:rsidRPr="001A3D9B">
                    <w:t>а именно:</w:t>
                  </w:r>
                </w:p>
                <w:p w:rsidR="00C84DFD" w:rsidRPr="00C84DFD" w:rsidRDefault="00C84DFD" w:rsidP="005E04C1">
                  <w:pPr>
                    <w:widowControl w:val="0"/>
                    <w:numPr>
                      <w:ilvl w:val="0"/>
                      <w:numId w:val="43"/>
                    </w:numPr>
                    <w:autoSpaceDE w:val="0"/>
                    <w:autoSpaceDN w:val="0"/>
                    <w:adjustRightInd w:val="0"/>
                    <w:spacing w:after="160" w:line="259" w:lineRule="auto"/>
                    <w:ind w:left="81" w:right="261" w:hanging="18"/>
                    <w:contextualSpacing/>
                    <w:jc w:val="both"/>
                    <w:outlineLvl w:val="1"/>
                    <w:rPr>
                      <w:rFonts w:cs="Calibri"/>
                    </w:rPr>
                  </w:pPr>
                  <w:bookmarkStart w:id="16" w:name="Par115"/>
                  <w:bookmarkStart w:id="17" w:name="Par134"/>
                  <w:bookmarkEnd w:id="16"/>
                  <w:bookmarkEnd w:id="17"/>
                  <w:r w:rsidRPr="00C84DFD">
                    <w:rPr>
                      <w:rFonts w:cs="Calibri"/>
                    </w:rPr>
                    <w:t xml:space="preserve">20. Устройство наружных электрических сетей и линий связи (п. 20 в ред. </w:t>
                  </w:r>
                  <w:hyperlink r:id="rId18" w:history="1">
                    <w:r w:rsidRPr="00C84DFD">
                      <w:rPr>
                        <w:rFonts w:cs="Calibri"/>
                      </w:rPr>
                      <w:t>Приказа</w:t>
                    </w:r>
                  </w:hyperlink>
                  <w:r w:rsidRPr="00C84DFD">
                    <w:rPr>
                      <w:rFonts w:cs="Calibri"/>
                    </w:rPr>
                    <w:t xml:space="preserve"> Минрегиона РФ от 23.06.2010 N 294)</w:t>
                  </w:r>
                </w:p>
                <w:p w:rsidR="00C84DFD" w:rsidRPr="00C84DFD" w:rsidRDefault="00C84DFD" w:rsidP="005E04C1">
                  <w:pPr>
                    <w:widowControl w:val="0"/>
                    <w:numPr>
                      <w:ilvl w:val="0"/>
                      <w:numId w:val="43"/>
                    </w:numPr>
                    <w:autoSpaceDE w:val="0"/>
                    <w:autoSpaceDN w:val="0"/>
                    <w:adjustRightInd w:val="0"/>
                    <w:spacing w:after="160" w:line="259" w:lineRule="auto"/>
                    <w:ind w:left="81" w:right="261" w:hanging="18"/>
                    <w:contextualSpacing/>
                    <w:jc w:val="both"/>
                    <w:rPr>
                      <w:rFonts w:cs="Calibri"/>
                    </w:rPr>
                  </w:pPr>
                  <w:r w:rsidRPr="00C84DFD">
                    <w:rPr>
                      <w:rFonts w:cs="Calibri"/>
                    </w:rPr>
                    <w:t xml:space="preserve">20.12. Установка распределительных устройств, коммутационной аппаратуры, </w:t>
                  </w:r>
                  <w:r w:rsidRPr="00C84DFD">
                    <w:rPr>
                      <w:rFonts w:cs="Calibri"/>
                    </w:rPr>
                    <w:lastRenderedPageBreak/>
                    <w:t>устройств защиты</w:t>
                  </w:r>
                </w:p>
                <w:p w:rsidR="00C84DFD" w:rsidRPr="00C84DFD" w:rsidRDefault="00C84DFD" w:rsidP="005E04C1">
                  <w:pPr>
                    <w:widowControl w:val="0"/>
                    <w:numPr>
                      <w:ilvl w:val="0"/>
                      <w:numId w:val="43"/>
                    </w:numPr>
                    <w:autoSpaceDE w:val="0"/>
                    <w:autoSpaceDN w:val="0"/>
                    <w:adjustRightInd w:val="0"/>
                    <w:spacing w:after="160" w:line="259" w:lineRule="auto"/>
                    <w:ind w:left="81" w:right="261" w:hanging="18"/>
                    <w:contextualSpacing/>
                    <w:jc w:val="both"/>
                    <w:outlineLvl w:val="1"/>
                    <w:rPr>
                      <w:rFonts w:cs="Calibri"/>
                    </w:rPr>
                  </w:pPr>
                  <w:bookmarkStart w:id="18" w:name="Par148"/>
                  <w:bookmarkStart w:id="19" w:name="Par151"/>
                  <w:bookmarkStart w:id="20" w:name="Par168"/>
                  <w:bookmarkEnd w:id="18"/>
                  <w:bookmarkEnd w:id="19"/>
                  <w:bookmarkEnd w:id="20"/>
                  <w:r w:rsidRPr="00C84DFD">
                    <w:rPr>
                      <w:rFonts w:cs="Calibri"/>
                    </w:rPr>
                    <w:t>24. Пусконаладочные работы</w:t>
                  </w:r>
                </w:p>
                <w:p w:rsidR="00C84DFD" w:rsidRPr="00C84DFD" w:rsidRDefault="00C84DFD" w:rsidP="005E04C1">
                  <w:pPr>
                    <w:widowControl w:val="0"/>
                    <w:numPr>
                      <w:ilvl w:val="0"/>
                      <w:numId w:val="43"/>
                    </w:numPr>
                    <w:autoSpaceDE w:val="0"/>
                    <w:autoSpaceDN w:val="0"/>
                    <w:adjustRightInd w:val="0"/>
                    <w:spacing w:after="160" w:line="259" w:lineRule="auto"/>
                    <w:ind w:left="81" w:right="261" w:hanging="18"/>
                    <w:contextualSpacing/>
                    <w:jc w:val="both"/>
                    <w:rPr>
                      <w:rFonts w:cs="Calibri"/>
                    </w:rPr>
                  </w:pPr>
                  <w:r w:rsidRPr="00C84DFD">
                    <w:rPr>
                      <w:rFonts w:cs="Calibri"/>
                    </w:rPr>
                    <w:t>24.5. Пусконаладочные работы коммутационных аппаратов</w:t>
                  </w:r>
                </w:p>
                <w:p w:rsidR="0014229A" w:rsidRPr="00ED7BA7" w:rsidRDefault="0014229A" w:rsidP="00C92A83">
                  <w:pPr>
                    <w:ind w:right="176"/>
                    <w:jc w:val="both"/>
                    <w:rPr>
                      <w:rFonts w:cs="Arial"/>
                      <w:b/>
                      <w:color w:val="FF0000"/>
                      <w:highlight w:val="cyan"/>
                    </w:rPr>
                  </w:pP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21" w:name="_Ref378109129"/>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992" w:type="dxa"/>
                  <w:shd w:val="clear" w:color="auto" w:fill="auto"/>
                </w:tcPr>
                <w:p w:rsidR="0014229A" w:rsidRPr="00561F9A" w:rsidRDefault="00A27D60" w:rsidP="003B25CB">
                  <w:pPr>
                    <w:pStyle w:val="a4"/>
                    <w:ind w:left="0"/>
                    <w:rPr>
                      <w:rFonts w:cs="Arial"/>
                      <w:color w:val="000000"/>
                    </w:rPr>
                  </w:pPr>
                  <w:r>
                    <w:rPr>
                      <w:rFonts w:cs="Arial"/>
                      <w:color w:val="000000"/>
                    </w:rPr>
                    <w:t>95</w:t>
                  </w:r>
                </w:p>
              </w:tc>
              <w:tc>
                <w:tcPr>
                  <w:tcW w:w="3119"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14229A" w:rsidTr="00ED6883">
              <w:tc>
                <w:tcPr>
                  <w:tcW w:w="3459" w:type="dxa"/>
                  <w:shd w:val="clear" w:color="auto" w:fill="auto"/>
                </w:tcPr>
                <w:p w:rsidR="00113692" w:rsidRPr="00113692" w:rsidRDefault="00113692" w:rsidP="00113692">
                  <w:pPr>
                    <w:tabs>
                      <w:tab w:val="left" w:pos="720"/>
                      <w:tab w:val="num" w:pos="1980"/>
                    </w:tabs>
                    <w:ind w:hanging="3"/>
                    <w:jc w:val="both"/>
                  </w:pPr>
                  <w:r w:rsidRPr="00113692">
                    <w:t xml:space="preserve">Согласие </w:t>
                  </w:r>
                  <w:r w:rsidR="00255E3F">
                    <w:t>участника закупки</w:t>
                  </w:r>
                  <w:r w:rsidRPr="00113692">
                    <w:t xml:space="preserve"> на условие оплаты по договору:</w:t>
                  </w:r>
                </w:p>
                <w:p w:rsidR="00113692" w:rsidRPr="00113692" w:rsidRDefault="00113692" w:rsidP="00113692">
                  <w:pPr>
                    <w:jc w:val="both"/>
                    <w:rPr>
                      <w:lang w:eastAsia="ar-SA"/>
                    </w:rPr>
                  </w:pPr>
                  <w:r>
                    <w:rPr>
                      <w:lang w:eastAsia="ar-SA"/>
                    </w:rPr>
                    <w:t>Заказчик обязан в течение 6</w:t>
                  </w:r>
                  <w:r w:rsidRPr="00113692">
                    <w:rPr>
                      <w:lang w:eastAsia="ar-SA"/>
                    </w:rPr>
                    <w:t>0 (</w:t>
                  </w:r>
                  <w:r>
                    <w:rPr>
                      <w:lang w:eastAsia="ar-SA"/>
                    </w:rPr>
                    <w:t>шестидесяти</w:t>
                  </w:r>
                  <w:r w:rsidRPr="00113692">
                    <w:rPr>
                      <w:lang w:eastAsia="ar-SA"/>
                    </w:rPr>
                    <w:t xml:space="preserve">) </w:t>
                  </w:r>
                  <w:r>
                    <w:rPr>
                      <w:lang w:eastAsia="ar-SA"/>
                    </w:rPr>
                    <w:t xml:space="preserve">календарных </w:t>
                  </w:r>
                  <w:r w:rsidRPr="00113692">
                    <w:rPr>
                      <w:lang w:eastAsia="ar-SA"/>
                    </w:rPr>
                    <w:t xml:space="preserve">дней со дня подписания сторонами акта выполненных работ (форма №КС-2 и форма №КС-3) осуществлять промежуточные платежи соответственно стоимости выполненных работ. </w:t>
                  </w:r>
                </w:p>
                <w:p w:rsidR="0014229A" w:rsidRPr="00561F9A" w:rsidRDefault="00113692" w:rsidP="00113692">
                  <w:pPr>
                    <w:pStyle w:val="a4"/>
                    <w:ind w:left="0"/>
                    <w:rPr>
                      <w:rFonts w:cs="Arial"/>
                      <w:color w:val="000000"/>
                    </w:rPr>
                  </w:pPr>
                  <w:r w:rsidRPr="00113692">
                    <w:rPr>
                      <w:lang w:eastAsia="ar-SA"/>
                    </w:rPr>
                    <w:t xml:space="preserve">Окончательный расчет производится Заказчиком в течение </w:t>
                  </w:r>
                  <w:r>
                    <w:rPr>
                      <w:lang w:eastAsia="ar-SA"/>
                    </w:rPr>
                    <w:t>6</w:t>
                  </w:r>
                  <w:r w:rsidRPr="00113692">
                    <w:rPr>
                      <w:lang w:eastAsia="ar-SA"/>
                    </w:rPr>
                    <w:t>0 (</w:t>
                  </w:r>
                  <w:r>
                    <w:rPr>
                      <w:lang w:eastAsia="ar-SA"/>
                    </w:rPr>
                    <w:t>шестидесяти</w:t>
                  </w:r>
                  <w:r w:rsidRPr="00113692">
                    <w:rPr>
                      <w:lang w:eastAsia="ar-SA"/>
                    </w:rPr>
                    <w:t xml:space="preserve">) </w:t>
                  </w:r>
                  <w:r>
                    <w:rPr>
                      <w:lang w:eastAsia="ar-SA"/>
                    </w:rPr>
                    <w:t xml:space="preserve">календарных </w:t>
                  </w:r>
                  <w:r w:rsidRPr="00113692">
                    <w:rPr>
                      <w:lang w:eastAsia="ar-SA"/>
                    </w:rPr>
                    <w:t xml:space="preserve">дней с момента выполнения Подрядчиком всех работ по настоящему договору, после </w:t>
                  </w:r>
                  <w:r w:rsidRPr="00113692">
                    <w:rPr>
                      <w:color w:val="000000"/>
                      <w:lang w:eastAsia="ar-SA"/>
                    </w:rPr>
                    <w:t>устран</w:t>
                  </w:r>
                  <w:r w:rsidRPr="00113692">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 (форма № КС-14)</w:t>
                  </w:r>
                  <w:r w:rsidR="006F1C74" w:rsidRPr="00E75FC5">
                    <w:t>.</w:t>
                  </w:r>
                </w:p>
              </w:tc>
              <w:tc>
                <w:tcPr>
                  <w:tcW w:w="992" w:type="dxa"/>
                  <w:shd w:val="clear" w:color="auto" w:fill="auto"/>
                </w:tcPr>
                <w:p w:rsidR="0014229A" w:rsidRPr="00561F9A" w:rsidRDefault="00A27D60" w:rsidP="003B25CB">
                  <w:pPr>
                    <w:pStyle w:val="a4"/>
                    <w:ind w:left="0"/>
                    <w:rPr>
                      <w:rFonts w:cs="Arial"/>
                      <w:color w:val="000000"/>
                    </w:rPr>
                  </w:pPr>
                  <w:r>
                    <w:rPr>
                      <w:rFonts w:cs="Arial"/>
                      <w:color w:val="000000"/>
                    </w:rPr>
                    <w:t>5</w:t>
                  </w:r>
                </w:p>
              </w:tc>
              <w:tc>
                <w:tcPr>
                  <w:tcW w:w="3119" w:type="dxa"/>
                  <w:shd w:val="clear" w:color="auto" w:fill="auto"/>
                </w:tcPr>
                <w:p w:rsidR="00E75FC5" w:rsidRPr="00E75FC5" w:rsidRDefault="00E75FC5" w:rsidP="00E75FC5">
                  <w:pPr>
                    <w:jc w:val="both"/>
                  </w:pPr>
                  <w:r w:rsidRPr="00E75FC5">
                    <w:t xml:space="preserve">Оценивается согласие </w:t>
                  </w:r>
                  <w:r w:rsidR="00255E3F">
                    <w:t>участника закупки</w:t>
                  </w:r>
                  <w:r w:rsidRPr="00E75FC5">
                    <w:t xml:space="preserve"> на дополнительное увеличение срока оплаты, установленного закупочной документацией, на 30 календарных дней </w:t>
                  </w:r>
                </w:p>
                <w:p w:rsidR="0014229A" w:rsidRPr="00561F9A" w:rsidRDefault="0014229A" w:rsidP="00A27D60">
                  <w:pPr>
                    <w:pStyle w:val="a4"/>
                    <w:ind w:left="0"/>
                    <w:rPr>
                      <w:rFonts w:cs="Arial"/>
                      <w:color w:val="000000"/>
                    </w:rPr>
                  </w:pP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lastRenderedPageBreak/>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13692" w:rsidRPr="00113692" w:rsidRDefault="00113692" w:rsidP="00113692">
            <w:pPr>
              <w:autoSpaceDE w:val="0"/>
              <w:autoSpaceDN w:val="0"/>
              <w:adjustRightInd w:val="0"/>
              <w:jc w:val="both"/>
            </w:pPr>
            <w:r w:rsidRPr="00113692">
              <w:t>Место выполнения работ: согласно адресному плану (Приложение №1 к Техническому заданию, являющемуся Приложением № 1 к настоящему Извещению)</w:t>
            </w:r>
          </w:p>
          <w:p w:rsidR="00113692" w:rsidRPr="00113692" w:rsidRDefault="00113692" w:rsidP="00113692">
            <w:pPr>
              <w:autoSpaceDE w:val="0"/>
              <w:autoSpaceDN w:val="0"/>
              <w:adjustRightInd w:val="0"/>
              <w:jc w:val="both"/>
              <w:rPr>
                <w:rFonts w:eastAsia="Calibri"/>
                <w:iCs/>
                <w:color w:val="000000"/>
                <w:lang w:eastAsia="en-US"/>
              </w:rPr>
            </w:pPr>
          </w:p>
          <w:p w:rsidR="00113692" w:rsidRPr="00113692" w:rsidRDefault="00113692" w:rsidP="00113692">
            <w:pPr>
              <w:autoSpaceDE w:val="0"/>
              <w:autoSpaceDN w:val="0"/>
              <w:adjustRightInd w:val="0"/>
              <w:jc w:val="both"/>
              <w:rPr>
                <w:rFonts w:eastAsia="Calibri"/>
                <w:iCs/>
                <w:color w:val="000000"/>
                <w:lang w:eastAsia="en-US"/>
              </w:rPr>
            </w:pPr>
            <w:r w:rsidRPr="00113692">
              <w:rPr>
                <w:rFonts w:eastAsia="Calibri"/>
                <w:iCs/>
                <w:color w:val="000000"/>
                <w:lang w:eastAsia="en-US"/>
              </w:rPr>
              <w:t xml:space="preserve">Срок выполнения работ: </w:t>
            </w:r>
          </w:p>
          <w:p w:rsidR="00113692" w:rsidRPr="00113692" w:rsidRDefault="00113692" w:rsidP="00113692">
            <w:pPr>
              <w:autoSpaceDE w:val="0"/>
              <w:autoSpaceDN w:val="0"/>
              <w:adjustRightInd w:val="0"/>
              <w:jc w:val="both"/>
              <w:rPr>
                <w:rFonts w:eastAsia="Calibri"/>
                <w:iCs/>
                <w:color w:val="000000"/>
                <w:lang w:eastAsia="en-US"/>
              </w:rPr>
            </w:pPr>
            <w:r w:rsidRPr="00113692">
              <w:rPr>
                <w:rFonts w:eastAsia="Calibri"/>
                <w:iCs/>
                <w:color w:val="000000"/>
                <w:lang w:eastAsia="en-US"/>
              </w:rPr>
              <w:t>Сдача объекта:</w:t>
            </w:r>
          </w:p>
          <w:p w:rsidR="00113692" w:rsidRPr="00113692" w:rsidRDefault="00113692" w:rsidP="00113692">
            <w:pPr>
              <w:autoSpaceDE w:val="0"/>
              <w:autoSpaceDN w:val="0"/>
              <w:adjustRightInd w:val="0"/>
              <w:jc w:val="both"/>
              <w:rPr>
                <w:rFonts w:eastAsia="Calibri"/>
                <w:iCs/>
                <w:color w:val="000000"/>
                <w:lang w:eastAsia="en-US"/>
              </w:rPr>
            </w:pPr>
            <w:r w:rsidRPr="00113692">
              <w:rPr>
                <w:rFonts w:eastAsia="Calibri"/>
                <w:iCs/>
                <w:color w:val="000000"/>
                <w:lang w:eastAsia="en-US"/>
              </w:rPr>
              <w:t>15 жилых домов - 10.11.2015 г.</w:t>
            </w:r>
          </w:p>
          <w:p w:rsidR="00113692" w:rsidRPr="00113692" w:rsidRDefault="00113692" w:rsidP="00113692">
            <w:pPr>
              <w:autoSpaceDE w:val="0"/>
              <w:autoSpaceDN w:val="0"/>
              <w:adjustRightInd w:val="0"/>
              <w:jc w:val="both"/>
              <w:rPr>
                <w:rFonts w:eastAsia="Calibri"/>
                <w:iCs/>
                <w:color w:val="000000"/>
                <w:lang w:eastAsia="en-US"/>
              </w:rPr>
            </w:pPr>
            <w:r w:rsidRPr="00113692">
              <w:rPr>
                <w:rFonts w:eastAsia="Calibri"/>
                <w:iCs/>
                <w:color w:val="000000"/>
                <w:lang w:eastAsia="en-US"/>
              </w:rPr>
              <w:t>23 жилых дома – 30.11.2015 г.</w:t>
            </w:r>
          </w:p>
          <w:p w:rsidR="0014229A" w:rsidRPr="00F84878" w:rsidRDefault="00113692" w:rsidP="00113692">
            <w:pPr>
              <w:pStyle w:val="Default"/>
              <w:jc w:val="both"/>
            </w:pPr>
            <w:r w:rsidRPr="00113692">
              <w:rPr>
                <w:iCs/>
              </w:rPr>
              <w:t>23 жилых дома – 25.12.2015 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2" w:name="_Ref368314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5807EB" w:rsidP="005807EB">
            <w:pPr>
              <w:jc w:val="both"/>
            </w:pPr>
            <w:r>
              <w:t>Требуется в размере 10 % от начальной (максимальной) цены договора.</w:t>
            </w:r>
          </w:p>
          <w:p w:rsidR="005807EB" w:rsidRDefault="005807EB" w:rsidP="005807EB">
            <w:pPr>
              <w:jc w:val="both"/>
            </w:pPr>
            <w:r>
              <w:t>Размер обеспечения: 448 40</w:t>
            </w:r>
            <w:r w:rsidR="00E245A7">
              <w:t>9</w:t>
            </w:r>
            <w:r>
              <w:t xml:space="preserve"> (четыреста сорок восемь тысяч четыреста</w:t>
            </w:r>
            <w:r w:rsidR="00E245A7">
              <w:t xml:space="preserve"> девять</w:t>
            </w:r>
            <w:r>
              <w:t>) рублей 00 копеек (НДС не облагается).</w:t>
            </w:r>
          </w:p>
          <w:p w:rsidR="005807EB" w:rsidRDefault="005807EB" w:rsidP="005807EB">
            <w:pPr>
              <w:jc w:val="both"/>
            </w:pPr>
            <w:r>
              <w:t>Форма обеспечения: денежные средства.</w:t>
            </w:r>
          </w:p>
          <w:p w:rsidR="005807EB" w:rsidRDefault="005807EB" w:rsidP="005807EB">
            <w:pPr>
              <w:jc w:val="both"/>
            </w:pPr>
            <w:r>
              <w:t>Валюта обеспечения: Российский рубль.</w:t>
            </w:r>
          </w:p>
          <w:p w:rsidR="005807EB" w:rsidRDefault="005807EB" w:rsidP="005807EB">
            <w:pPr>
              <w:jc w:val="both"/>
            </w:pPr>
            <w:r>
              <w:t>Денежные средства в обеспечение Заявки вносятся в соответствии с Регламентом работы ЭТП.</w:t>
            </w:r>
          </w:p>
          <w:p w:rsidR="005807EB" w:rsidRDefault="005807EB" w:rsidP="005807EB">
            <w:pPr>
              <w:jc w:val="both"/>
            </w:pPr>
            <w:r>
              <w:t>Обеспечение заявок не возвращается в случаях:</w:t>
            </w:r>
          </w:p>
          <w:p w:rsidR="005807EB" w:rsidRDefault="005807EB" w:rsidP="005807EB">
            <w:pPr>
              <w:jc w:val="both"/>
            </w:pPr>
            <w: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14229A" w:rsidRPr="005C24A0" w:rsidRDefault="005807EB" w:rsidP="005807EB">
            <w:pPr>
              <w:pStyle w:val="ac"/>
              <w:spacing w:before="0" w:beforeAutospacing="0" w:after="0" w:afterAutospacing="0"/>
              <w:ind w:left="317"/>
              <w:jc w:val="both"/>
            </w:pPr>
            <w:r>
              <w:t>-  изменения или отзыва участником процедур закупок заявки после истечения срока окончания подачи заявок.</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bookmarkStart w:id="23" w:name="_GoBack"/>
            <w:bookmarkEnd w:id="23"/>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4" w:name="_Ref377141801"/>
          </w:p>
        </w:tc>
        <w:bookmarkEnd w:id="2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5" w:name="_Ref378853535"/>
          </w:p>
        </w:tc>
        <w:bookmarkEnd w:id="2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E245A7">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 xml:space="preserve">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w:t>
            </w:r>
            <w:r>
              <w:lastRenderedPageBreak/>
              <w:t>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6" w:name="_2.3._Требования_к"/>
      <w:bookmarkStart w:id="27" w:name="_2.2._Требования_к"/>
      <w:bookmarkStart w:id="28" w:name="_Toc422763652"/>
      <w:bookmarkEnd w:id="26"/>
      <w:bookmarkEnd w:id="27"/>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8"/>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lastRenderedPageBreak/>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9" w:name="_Ref368314814"/>
          </w:p>
        </w:tc>
        <w:bookmarkEnd w:id="29"/>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30" w:name="_Toc313349949"/>
            <w:bookmarkStart w:id="31" w:name="_Toc313350145"/>
            <w:bookmarkStart w:id="32"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33" w:name="_Toc313349952"/>
            <w:bookmarkStart w:id="34" w:name="_Toc313350148"/>
            <w:bookmarkStart w:id="35" w:name="_Ref320180868"/>
            <w:bookmarkEnd w:id="30"/>
            <w:bookmarkEnd w:id="31"/>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3"/>
            <w:bookmarkEnd w:id="34"/>
            <w:bookmarkEnd w:id="35"/>
          </w:p>
          <w:bookmarkEnd w:id="32"/>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6" w:name="_Toc313349954"/>
            <w:bookmarkStart w:id="37"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6"/>
            <w:bookmarkEnd w:id="37"/>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сделки </w:t>
            </w:r>
            <w:r>
              <w:lastRenderedPageBreak/>
              <w:t>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8" w:name="_Ref314562138"/>
            <w:r w:rsidRPr="005C24A0">
              <w:t xml:space="preserve">2) </w:t>
            </w:r>
            <w:bookmarkEnd w:id="38"/>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245A7">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Pr="005E04C1" w:rsidRDefault="0014229A" w:rsidP="005E04C1">
            <w:pPr>
              <w:tabs>
                <w:tab w:val="left" w:pos="993"/>
              </w:tabs>
              <w:ind w:firstLine="415"/>
              <w:jc w:val="both"/>
              <w:rPr>
                <w:b/>
              </w:rPr>
            </w:pPr>
            <w:bookmarkStart w:id="39" w:name="_Ref313307290"/>
            <w:r w:rsidRPr="005C24A0">
              <w:t xml:space="preserve">3) </w:t>
            </w:r>
            <w:r w:rsidRPr="0091297E">
              <w:t xml:space="preserve">Предложение Претендента в отношении предмета </w:t>
            </w:r>
            <w:bookmarkStart w:id="40" w:name="_Ref314562291"/>
            <w:r w:rsidR="00A02B2E">
              <w:t>закупки по форме Приложения № 3 к Извещению</w:t>
            </w:r>
            <w:r w:rsidR="005E04C1">
              <w:t>,</w:t>
            </w:r>
            <w:r w:rsidR="00A02B2E">
              <w:t xml:space="preserve"> </w:t>
            </w:r>
            <w:r w:rsidR="005E04C1" w:rsidRPr="005E04C1">
              <w:t xml:space="preserve">включая обоснование цены договора -  </w:t>
            </w:r>
            <w:r w:rsidR="005E04C1" w:rsidRPr="005E04C1">
              <w:rPr>
                <w:b/>
                <w:highlight w:val="lightGray"/>
              </w:rPr>
              <w:t>Локальный сметный расчет</w:t>
            </w:r>
            <w:r w:rsidR="00A02B2E">
              <w:t xml:space="preserve"> (указанный документ</w:t>
            </w:r>
            <w:r w:rsidR="00A02B2E" w:rsidRPr="00A02B2E">
              <w:t xml:space="preserve"> также обязательно долж</w:t>
            </w:r>
            <w:r w:rsidR="005E04C1">
              <w:t>е</w:t>
            </w:r>
            <w:r w:rsidR="00A02B2E" w:rsidRPr="00A02B2E">
              <w:t>н</w:t>
            </w:r>
            <w:r w:rsidR="005E04C1">
              <w:t xml:space="preserve"> быть представлен</w:t>
            </w:r>
            <w:r w:rsidR="00A02B2E" w:rsidRPr="00A02B2E">
              <w:t xml:space="preserve"> в формате Excel</w:t>
            </w:r>
            <w:r w:rsidR="00A02B2E">
              <w:t>)</w:t>
            </w:r>
            <w:r w:rsidR="00A02B2E" w:rsidRPr="00A02B2E">
              <w:t>.</w:t>
            </w:r>
          </w:p>
          <w:p w:rsidR="005E04C1" w:rsidRDefault="0014229A" w:rsidP="005E04C1">
            <w:pPr>
              <w:ind w:firstLine="486"/>
              <w:jc w:val="both"/>
            </w:pPr>
            <w:r w:rsidRPr="005C24A0">
              <w:t>4</w:t>
            </w:r>
            <w:r w:rsidRPr="0047303D">
              <w:t xml:space="preserve">) </w:t>
            </w:r>
            <w:bookmarkEnd w:id="39"/>
            <w:bookmarkEnd w:id="40"/>
            <w:r w:rsidR="005E04C1">
              <w:t>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перечень необходимого оборудования, техники и инструментов, прошедших обязательную поверку и имеющих все необходимые лицензии и сертификаты.</w:t>
            </w:r>
          </w:p>
          <w:p w:rsidR="005E04C1" w:rsidRDefault="005E04C1" w:rsidP="005E04C1">
            <w:pPr>
              <w:ind w:firstLine="486"/>
              <w:jc w:val="both"/>
            </w:pPr>
            <w:r>
              <w:t>5)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данные о персонале, прошедшем обязательную аттестацию и имеющем все необходимые лицензии и сертификаты.</w:t>
            </w:r>
          </w:p>
          <w:p w:rsidR="005E04C1" w:rsidRDefault="005E04C1" w:rsidP="005E04C1">
            <w:pPr>
              <w:ind w:firstLine="486"/>
              <w:jc w:val="both"/>
            </w:pPr>
            <w:r>
              <w:t xml:space="preserve">6)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копию свидетельства СРО о допуске на проведение строительно-монтажных работ (Виды работ по строительству, реконструкции и капитальному ремонту: </w:t>
            </w:r>
          </w:p>
          <w:p w:rsidR="005E04C1" w:rsidRDefault="005E04C1" w:rsidP="005E04C1">
            <w:pPr>
              <w:ind w:firstLine="486"/>
              <w:jc w:val="both"/>
            </w:pPr>
            <w:r>
              <w:t>20. Устройство наружных электрических сетей и линий связи (п. 20 в ред. Приказа Минрегиона РФ от 23.06.2010 N 294)</w:t>
            </w:r>
          </w:p>
          <w:p w:rsidR="005E04C1" w:rsidRDefault="005E04C1" w:rsidP="005E04C1">
            <w:pPr>
              <w:ind w:firstLine="486"/>
              <w:jc w:val="both"/>
            </w:pPr>
            <w:r>
              <w:t>20.12. Установка распределительных устройств, коммутационной аппаратуры, устройств защиты;</w:t>
            </w:r>
          </w:p>
          <w:p w:rsidR="005E04C1" w:rsidRDefault="005E04C1" w:rsidP="005E04C1">
            <w:pPr>
              <w:ind w:firstLine="486"/>
              <w:jc w:val="both"/>
            </w:pPr>
            <w:r>
              <w:t>24. Пусконаладочные работы</w:t>
            </w:r>
          </w:p>
          <w:p w:rsidR="005E04C1" w:rsidRDefault="005E04C1" w:rsidP="005E04C1">
            <w:pPr>
              <w:ind w:firstLine="486"/>
              <w:jc w:val="both"/>
            </w:pPr>
            <w:r>
              <w:t>24.5. Пусконаладочные работы коммутационных аппаратов.</w:t>
            </w:r>
          </w:p>
          <w:p w:rsidR="005E04C1" w:rsidRDefault="007A354A" w:rsidP="005E04C1">
            <w:pPr>
              <w:ind w:firstLine="486"/>
              <w:jc w:val="both"/>
            </w:pPr>
            <w:r>
              <w:t xml:space="preserve">7)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7A354A" w:rsidRDefault="005E04C1" w:rsidP="005E04C1">
            <w:pPr>
              <w:ind w:firstLine="486"/>
              <w:jc w:val="both"/>
            </w:pPr>
            <w:r>
              <w:lastRenderedPageBreak/>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41" w:name="_Ref313307321"/>
          </w:p>
          <w:p w:rsidR="0014229A" w:rsidRPr="00D52224" w:rsidRDefault="007A354A" w:rsidP="005E04C1">
            <w:pPr>
              <w:ind w:firstLine="486"/>
              <w:jc w:val="both"/>
            </w:pPr>
            <w:r>
              <w:t>8</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E245A7">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E245A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7A354A" w:rsidP="00A02B2E">
            <w:pPr>
              <w:ind w:firstLine="488"/>
              <w:jc w:val="both"/>
            </w:pPr>
            <w:r>
              <w:t>9</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41"/>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42" w:name="_Ref368316022"/>
          </w:p>
        </w:tc>
        <w:bookmarkEnd w:id="42"/>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w:t>
            </w:r>
            <w:r w:rsidRPr="00E22AF0">
              <w:lastRenderedPageBreak/>
              <w:t xml:space="preserve">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w:t>
            </w:r>
            <w:r w:rsidRPr="00F8597C">
              <w:lastRenderedPageBreak/>
              <w:t xml:space="preserve">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245A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E245A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w:t>
              </w:r>
              <w:r w:rsidRPr="005C6DCB">
                <w:rPr>
                  <w:rStyle w:val="a3"/>
                  <w:iCs/>
                  <w:color w:val="auto"/>
                  <w:u w:val="none"/>
                </w:rPr>
                <w:lastRenderedPageBreak/>
                <w:t>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3" w:name="_2.4._Критерии_и"/>
      <w:bookmarkEnd w:id="43"/>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4" w:name="_2.3._Условия_заключения"/>
      <w:bookmarkStart w:id="45" w:name="_Toc422763653"/>
      <w:bookmarkEnd w:id="44"/>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5"/>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6" w:name="_Ref335675605"/>
          </w:p>
          <w:bookmarkEnd w:id="46"/>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9"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CF4DB2" w:rsidRPr="00113692" w:rsidRDefault="00C84DFD" w:rsidP="00CF4DB2">
            <w:pPr>
              <w:jc w:val="both"/>
              <w:rPr>
                <w:lang w:eastAsia="ar-SA"/>
              </w:rPr>
            </w:pPr>
            <w:r>
              <w:rPr>
                <w:lang w:eastAsia="ar-SA"/>
              </w:rPr>
              <w:t xml:space="preserve">      </w:t>
            </w:r>
            <w:r w:rsidRPr="00C84DFD">
              <w:rPr>
                <w:lang w:eastAsia="ar-SA"/>
              </w:rPr>
              <w:t xml:space="preserve">Заказчик обязан </w:t>
            </w:r>
            <w:r w:rsidR="00CF4DB2">
              <w:rPr>
                <w:lang w:eastAsia="ar-SA"/>
              </w:rPr>
              <w:t>в течение 3</w:t>
            </w:r>
            <w:r w:rsidR="00CF4DB2" w:rsidRPr="00113692">
              <w:rPr>
                <w:lang w:eastAsia="ar-SA"/>
              </w:rPr>
              <w:t>0 (</w:t>
            </w:r>
            <w:r w:rsidR="00CF4DB2">
              <w:rPr>
                <w:lang w:eastAsia="ar-SA"/>
              </w:rPr>
              <w:t>тридцати</w:t>
            </w:r>
            <w:r w:rsidR="00CF4DB2" w:rsidRPr="00113692">
              <w:rPr>
                <w:lang w:eastAsia="ar-SA"/>
              </w:rPr>
              <w:t xml:space="preserve">) </w:t>
            </w:r>
            <w:r w:rsidR="00CF4DB2">
              <w:rPr>
                <w:lang w:eastAsia="ar-SA"/>
              </w:rPr>
              <w:t xml:space="preserve">календарных </w:t>
            </w:r>
            <w:r w:rsidR="00CF4DB2" w:rsidRPr="00113692">
              <w:rPr>
                <w:lang w:eastAsia="ar-SA"/>
              </w:rPr>
              <w:t xml:space="preserve">дней со дня подписания сторонами акта выполненных работ (форма №КС-2 и форма №КС-3) осуществлять промежуточные платежи соответственно стоимости выполненных работ. </w:t>
            </w:r>
          </w:p>
          <w:p w:rsidR="0014229A" w:rsidRPr="005C24A0" w:rsidRDefault="00CF4DB2" w:rsidP="00CF4DB2">
            <w:pPr>
              <w:ind w:firstLine="528"/>
              <w:jc w:val="both"/>
            </w:pPr>
            <w:r w:rsidRPr="00113692">
              <w:rPr>
                <w:lang w:eastAsia="ar-SA"/>
              </w:rPr>
              <w:t xml:space="preserve">Окончательный расчет производится Заказчиком в течение </w:t>
            </w:r>
            <w:r>
              <w:rPr>
                <w:lang w:eastAsia="ar-SA"/>
              </w:rPr>
              <w:t>3</w:t>
            </w:r>
            <w:r w:rsidRPr="00113692">
              <w:rPr>
                <w:lang w:eastAsia="ar-SA"/>
              </w:rPr>
              <w:t>0 (</w:t>
            </w:r>
            <w:r>
              <w:rPr>
                <w:lang w:eastAsia="ar-SA"/>
              </w:rPr>
              <w:t>тридцати</w:t>
            </w:r>
            <w:r w:rsidRPr="00113692">
              <w:rPr>
                <w:lang w:eastAsia="ar-SA"/>
              </w:rPr>
              <w:t xml:space="preserve">) </w:t>
            </w:r>
            <w:r>
              <w:rPr>
                <w:lang w:eastAsia="ar-SA"/>
              </w:rPr>
              <w:t xml:space="preserve">календарных </w:t>
            </w:r>
            <w:r w:rsidRPr="00113692">
              <w:rPr>
                <w:lang w:eastAsia="ar-SA"/>
              </w:rPr>
              <w:t xml:space="preserve">дней с момента выполнения Подрядчиком всех работ по настоящему договору, после </w:t>
            </w:r>
            <w:r w:rsidRPr="00113692">
              <w:rPr>
                <w:color w:val="000000"/>
                <w:lang w:eastAsia="ar-SA"/>
              </w:rPr>
              <w:t>устран</w:t>
            </w:r>
            <w:r w:rsidRPr="00113692">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 (форма № КС-14)</w:t>
            </w:r>
            <w:r w:rsidRPr="00E75FC5">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0"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w:t>
            </w:r>
            <w:r>
              <w:lastRenderedPageBreak/>
              <w:t>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1"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5C6DCB" w:rsidRPr="005C6DCB">
        <w:t xml:space="preserve">Извещение о </w:t>
      </w:r>
      <w:r w:rsidR="005C6DCB">
        <w:t>закупке</w:t>
      </w:r>
      <w:r w:rsidR="005C6DCB" w:rsidRPr="005C6DCB">
        <w:t xml:space="preserve">, </w:t>
      </w:r>
      <w:r w:rsidR="00C20F72">
        <w:t>Техническ</w:t>
      </w:r>
      <w:r w:rsidR="00D576D1">
        <w:t>ое</w:t>
      </w:r>
      <w:r w:rsidR="00C20F72">
        <w:t xml:space="preserve"> </w:t>
      </w:r>
      <w:r w:rsidR="00D576D1">
        <w:t>задание</w:t>
      </w:r>
      <w:r w:rsidR="00C20F72">
        <w:t xml:space="preserve"> (Приложение № 1 к Извещению),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t xml:space="preserve">, </w:t>
      </w:r>
      <w:r w:rsidR="00373528" w:rsidRPr="005C24A0">
        <w:t>форма запроса на разъяснение документации о закупке</w:t>
      </w:r>
      <w:r w:rsidR="00373528">
        <w:t xml:space="preserve"> (Приложение № 6 к Извещению)</w:t>
      </w:r>
      <w:r w:rsidR="005C6DCB" w:rsidRPr="005C6DCB">
        <w:t>.</w:t>
      </w:r>
    </w:p>
    <w:p w:rsidR="0014229A" w:rsidRDefault="005C6DCB" w:rsidP="005C6DCB">
      <w:pPr>
        <w:pStyle w:val="1"/>
        <w:keepLines w:val="0"/>
        <w:tabs>
          <w:tab w:val="left" w:pos="6424"/>
        </w:tabs>
        <w:spacing w:before="0" w:after="120"/>
        <w:jc w:val="both"/>
        <w:rPr>
          <w:rFonts w:eastAsia="MS Mincho"/>
          <w:lang w:eastAsia="x-none"/>
        </w:rPr>
      </w:pPr>
      <w:bookmarkStart w:id="47" w:name="_РАЗДЕЛ_III._ФОРМЫ"/>
      <w:bookmarkEnd w:id="47"/>
      <w:r>
        <w:rPr>
          <w:rFonts w:eastAsia="MS Mincho"/>
          <w:lang w:eastAsia="x-none"/>
        </w:rPr>
        <w:t xml:space="preserve"> </w:t>
      </w:r>
    </w:p>
    <w:p w:rsidR="003B25CB" w:rsidRDefault="003B25CB"/>
    <w:sectPr w:rsidR="003B25CB" w:rsidSect="003B25CB">
      <w:headerReference w:type="first" r:id="rId2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26C" w:rsidRDefault="0043526C" w:rsidP="0014229A">
      <w:r>
        <w:separator/>
      </w:r>
    </w:p>
  </w:endnote>
  <w:endnote w:type="continuationSeparator" w:id="0">
    <w:p w:rsidR="0043526C" w:rsidRDefault="0043526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26C" w:rsidRDefault="0043526C" w:rsidP="0014229A">
      <w:r>
        <w:separator/>
      </w:r>
    </w:p>
  </w:footnote>
  <w:footnote w:type="continuationSeparator" w:id="0">
    <w:p w:rsidR="0043526C" w:rsidRDefault="0043526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7EB" w:rsidRDefault="005807EB">
    <w:pPr>
      <w:pStyle w:val="a5"/>
      <w:jc w:val="center"/>
    </w:pPr>
    <w:r>
      <w:fldChar w:fldCharType="begin"/>
    </w:r>
    <w:r>
      <w:instrText>PAGE   \* MERGEFORMAT</w:instrText>
    </w:r>
    <w:r>
      <w:fldChar w:fldCharType="separate"/>
    </w:r>
    <w:r w:rsidR="00E245A7">
      <w:rPr>
        <w:noProof/>
      </w:rPr>
      <w:t>1</w:t>
    </w:r>
    <w:r>
      <w:fldChar w:fldCharType="end"/>
    </w:r>
  </w:p>
  <w:p w:rsidR="005807EB" w:rsidRDefault="005807E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32"/>
  </w:num>
  <w:num w:numId="3">
    <w:abstractNumId w:val="39"/>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0"/>
  </w:num>
  <w:num w:numId="16">
    <w:abstractNumId w:val="42"/>
  </w:num>
  <w:num w:numId="17">
    <w:abstractNumId w:val="23"/>
  </w:num>
  <w:num w:numId="18">
    <w:abstractNumId w:val="35"/>
  </w:num>
  <w:num w:numId="19">
    <w:abstractNumId w:val="38"/>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55701"/>
    <w:rsid w:val="00063084"/>
    <w:rsid w:val="00093E9C"/>
    <w:rsid w:val="000A4ECA"/>
    <w:rsid w:val="000D6510"/>
    <w:rsid w:val="000E0120"/>
    <w:rsid w:val="000F4823"/>
    <w:rsid w:val="00113692"/>
    <w:rsid w:val="0014229A"/>
    <w:rsid w:val="00155152"/>
    <w:rsid w:val="001B4383"/>
    <w:rsid w:val="001B7CDD"/>
    <w:rsid w:val="001B7D6B"/>
    <w:rsid w:val="001C03F0"/>
    <w:rsid w:val="001F7110"/>
    <w:rsid w:val="00204117"/>
    <w:rsid w:val="00255E3F"/>
    <w:rsid w:val="0026485E"/>
    <w:rsid w:val="00294822"/>
    <w:rsid w:val="002D059D"/>
    <w:rsid w:val="003042B3"/>
    <w:rsid w:val="0032055F"/>
    <w:rsid w:val="0033356E"/>
    <w:rsid w:val="00373528"/>
    <w:rsid w:val="00393AC3"/>
    <w:rsid w:val="003B25CB"/>
    <w:rsid w:val="003C5771"/>
    <w:rsid w:val="003E3508"/>
    <w:rsid w:val="00401F71"/>
    <w:rsid w:val="00411612"/>
    <w:rsid w:val="0043434A"/>
    <w:rsid w:val="0043526C"/>
    <w:rsid w:val="00476009"/>
    <w:rsid w:val="004C05AA"/>
    <w:rsid w:val="005717E2"/>
    <w:rsid w:val="00574643"/>
    <w:rsid w:val="005807EB"/>
    <w:rsid w:val="00580C36"/>
    <w:rsid w:val="00591BD4"/>
    <w:rsid w:val="00596AC4"/>
    <w:rsid w:val="005B0AB9"/>
    <w:rsid w:val="005C6DCB"/>
    <w:rsid w:val="005E04C1"/>
    <w:rsid w:val="005E58BA"/>
    <w:rsid w:val="005E63CD"/>
    <w:rsid w:val="005F6199"/>
    <w:rsid w:val="006351F8"/>
    <w:rsid w:val="0065239C"/>
    <w:rsid w:val="00660B32"/>
    <w:rsid w:val="006B7711"/>
    <w:rsid w:val="006C0CCF"/>
    <w:rsid w:val="006F1C74"/>
    <w:rsid w:val="007444B9"/>
    <w:rsid w:val="007756F2"/>
    <w:rsid w:val="0078652E"/>
    <w:rsid w:val="007A354A"/>
    <w:rsid w:val="007E34B5"/>
    <w:rsid w:val="008239AB"/>
    <w:rsid w:val="0083262D"/>
    <w:rsid w:val="0083542D"/>
    <w:rsid w:val="00852B1E"/>
    <w:rsid w:val="008A40EB"/>
    <w:rsid w:val="008C6A98"/>
    <w:rsid w:val="009A662F"/>
    <w:rsid w:val="00A02B2E"/>
    <w:rsid w:val="00A27D60"/>
    <w:rsid w:val="00A667E3"/>
    <w:rsid w:val="00AB0FBA"/>
    <w:rsid w:val="00AD6F23"/>
    <w:rsid w:val="00AE4373"/>
    <w:rsid w:val="00B37EB4"/>
    <w:rsid w:val="00BA7B82"/>
    <w:rsid w:val="00C20F72"/>
    <w:rsid w:val="00C327CC"/>
    <w:rsid w:val="00C675FE"/>
    <w:rsid w:val="00C77202"/>
    <w:rsid w:val="00C84DFD"/>
    <w:rsid w:val="00C92A83"/>
    <w:rsid w:val="00CF4DB2"/>
    <w:rsid w:val="00D4565D"/>
    <w:rsid w:val="00D576D1"/>
    <w:rsid w:val="00D94587"/>
    <w:rsid w:val="00D97FAB"/>
    <w:rsid w:val="00DB2617"/>
    <w:rsid w:val="00E245A7"/>
    <w:rsid w:val="00E42B67"/>
    <w:rsid w:val="00E738A5"/>
    <w:rsid w:val="00E74D2C"/>
    <w:rsid w:val="00E75FC5"/>
    <w:rsid w:val="00EA1830"/>
    <w:rsid w:val="00EB346C"/>
    <w:rsid w:val="00ED6883"/>
    <w:rsid w:val="00ED7BA7"/>
    <w:rsid w:val="00EF33D2"/>
    <w:rsid w:val="00F13CAC"/>
    <w:rsid w:val="00F17D4A"/>
    <w:rsid w:val="00F65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26188CC-BEEA-4BF7-A197-2D02BC67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consultantplus://offline/ref=0F0F8449C3EADE02C9D6F52C70CB817E3C7F4EBE3051C2C4D044350C85F6670B8089BF21A7A9D17BV8WAE"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fontTable" Target="fontTable.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DDD5E-BD3D-44D7-93AF-AE52671A3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21</Pages>
  <Words>8167</Words>
  <Characters>46556</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22</cp:revision>
  <cp:lastPrinted>2015-10-09T13:18:00Z</cp:lastPrinted>
  <dcterms:created xsi:type="dcterms:W3CDTF">2015-10-07T04:10:00Z</dcterms:created>
  <dcterms:modified xsi:type="dcterms:W3CDTF">2015-10-09T13:19:00Z</dcterms:modified>
</cp:coreProperties>
</file>