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84D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84D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84D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55BB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B31E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9E3F77" w:rsidRPr="009E3F77" w:rsidRDefault="009E3F77" w:rsidP="009E3F77">
            <w:r w:rsidRPr="009A60AD">
              <w:t xml:space="preserve">Щербаков Е.А. (347)221-55-11; </w:t>
            </w:r>
            <w:r w:rsidRPr="009A60AD">
              <w:rPr>
                <w:rFonts w:eastAsia="Calibri"/>
                <w:bCs/>
                <w:color w:val="000000"/>
                <w:lang w:val="en-US"/>
              </w:rPr>
              <w:t>e</w:t>
            </w:r>
            <w:r w:rsidRPr="009A60AD">
              <w:rPr>
                <w:rFonts w:eastAsia="Calibri"/>
                <w:bCs/>
                <w:color w:val="000000"/>
              </w:rPr>
              <w:t>-</w:t>
            </w:r>
            <w:r w:rsidRPr="009A60AD">
              <w:rPr>
                <w:rFonts w:eastAsia="Calibri"/>
                <w:bCs/>
                <w:color w:val="000000"/>
                <w:lang w:val="en-US"/>
              </w:rPr>
              <w:t>mail</w:t>
            </w:r>
            <w:r w:rsidRPr="009A60AD">
              <w:rPr>
                <w:rFonts w:eastAsia="Calibri"/>
                <w:bCs/>
                <w:color w:val="000000"/>
              </w:rPr>
              <w:t>:</w:t>
            </w:r>
            <w:r w:rsidRPr="009A60AD">
              <w:rPr>
                <w:color w:val="777777"/>
              </w:rPr>
              <w:t xml:space="preserve"> </w:t>
            </w:r>
            <w:hyperlink r:id="rId18" w:history="1">
              <w:r w:rsidRPr="009E3F77">
                <w:rPr>
                  <w:rStyle w:val="a3"/>
                </w:rPr>
                <w:t>Shcherbakov@bashtel.ru</w:t>
              </w:r>
            </w:hyperlink>
            <w:r w:rsidRPr="009E3F77">
              <w:t xml:space="preserve"> </w:t>
            </w:r>
          </w:p>
          <w:p w:rsidR="0014229A" w:rsidRPr="009E3F77" w:rsidRDefault="009E3F77" w:rsidP="009E3F77">
            <w:pPr>
              <w:pStyle w:val="Default"/>
            </w:pPr>
            <w:proofErr w:type="spellStart"/>
            <w:r w:rsidRPr="009E3F77">
              <w:t>Сангалов</w:t>
            </w:r>
            <w:proofErr w:type="spellEnd"/>
            <w:r w:rsidRPr="009E3F77">
              <w:t xml:space="preserve"> А.Ю. (347)221-59-07;</w:t>
            </w:r>
            <w:r w:rsidRPr="009E3F77">
              <w:rPr>
                <w:bCs/>
              </w:rPr>
              <w:t xml:space="preserve"> </w:t>
            </w:r>
            <w:r w:rsidRPr="009E3F77">
              <w:rPr>
                <w:bCs/>
                <w:lang w:val="en-US"/>
              </w:rPr>
              <w:t>e</w:t>
            </w:r>
            <w:r w:rsidRPr="009E3F77">
              <w:rPr>
                <w:bCs/>
              </w:rPr>
              <w:t>-</w:t>
            </w:r>
            <w:r w:rsidRPr="009E3F77">
              <w:rPr>
                <w:bCs/>
                <w:lang w:val="en-US"/>
              </w:rPr>
              <w:t>mail</w:t>
            </w:r>
            <w:r w:rsidRPr="009E3F77">
              <w:rPr>
                <w:bCs/>
              </w:rPr>
              <w:t>:</w:t>
            </w:r>
            <w:r w:rsidRPr="009E3F77">
              <w:rPr>
                <w:rFonts w:eastAsia="Times New Roman"/>
                <w:color w:val="777777"/>
                <w:lang w:eastAsia="ru-RU"/>
              </w:rPr>
              <w:t xml:space="preserve"> </w:t>
            </w:r>
            <w:hyperlink r:id="rId19" w:history="1">
              <w:r w:rsidRPr="009E3F77">
                <w:rPr>
                  <w:rStyle w:val="a3"/>
                </w:rPr>
                <w:t>a.sangalov@bashtel.ru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E3F7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E3F77">
            <w:r>
              <w:t>«</w:t>
            </w:r>
            <w:r w:rsidR="009E3F77">
              <w:t>13</w:t>
            </w:r>
            <w:r w:rsidR="0014229A" w:rsidRPr="005C24A0">
              <w:t>»</w:t>
            </w:r>
            <w:r>
              <w:rPr>
                <w:lang w:val="en-US"/>
              </w:rPr>
              <w:t xml:space="preserve"> </w:t>
            </w:r>
            <w:r w:rsidR="009E3F77">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1"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9E3F77">
              <w:t>13</w:t>
            </w:r>
            <w:r w:rsidRPr="0078652E">
              <w:t xml:space="preserve">» </w:t>
            </w:r>
            <w:r w:rsidR="009E3F77">
              <w:t>ноя</w:t>
            </w:r>
            <w:r w:rsidRPr="0078652E">
              <w:t>бря 2015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9E3F77">
              <w:t>2</w:t>
            </w:r>
            <w:r w:rsidR="00643157">
              <w:t>4</w:t>
            </w:r>
            <w:r w:rsidRPr="0078652E">
              <w:t xml:space="preserve">» </w:t>
            </w:r>
            <w:r w:rsidR="0017553A">
              <w:t>но</w:t>
            </w:r>
            <w:r w:rsidRPr="0078652E">
              <w:t>ября 2015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643157">
            <w:pPr>
              <w:rPr>
                <w:highlight w:val="lightGray"/>
              </w:rPr>
            </w:pPr>
            <w:r>
              <w:t>«</w:t>
            </w:r>
            <w:r w:rsidR="009E3F77">
              <w:t>2</w:t>
            </w:r>
            <w:r w:rsidR="00643157">
              <w:t>4</w:t>
            </w:r>
            <w:r w:rsidR="005E58BA" w:rsidRPr="004739F3">
              <w:t>»</w:t>
            </w:r>
            <w:r w:rsidR="005E58BA" w:rsidRPr="00607E86">
              <w:t xml:space="preserve"> </w:t>
            </w:r>
            <w:r w:rsidR="0017553A">
              <w:t>но</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9E3F77">
              <w:t>2</w:t>
            </w:r>
            <w:r w:rsidR="00643157">
              <w:t>5</w:t>
            </w:r>
            <w:r w:rsidRPr="000F4823">
              <w:t xml:space="preserve">» </w:t>
            </w:r>
            <w:r w:rsidR="0017553A">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9E3F77">
              <w:t>2</w:t>
            </w:r>
            <w:r w:rsidR="00643157">
              <w:t>5</w:t>
            </w:r>
            <w:r w:rsidRPr="000F4823">
              <w:t xml:space="preserve">» </w:t>
            </w:r>
            <w:r w:rsidR="0017553A">
              <w:t>но</w:t>
            </w:r>
            <w:r w:rsidRPr="000F4823">
              <w:t>ября 2015 года в 1</w:t>
            </w:r>
            <w:r w:rsidR="009E3F77">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43157">
              <w:t>01</w:t>
            </w:r>
            <w:r w:rsidRPr="000F4823">
              <w:t xml:space="preserve">» </w:t>
            </w:r>
            <w:r w:rsidR="00643157">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3F77" w:rsidRDefault="009E3F77" w:rsidP="009E3F77">
            <w:pPr>
              <w:autoSpaceDE w:val="0"/>
              <w:autoSpaceDN w:val="0"/>
              <w:adjustRightInd w:val="0"/>
              <w:jc w:val="both"/>
            </w:pPr>
            <w:r>
              <w:rPr>
                <w:b/>
              </w:rPr>
              <w:t>Выполнение кадастровых работ по ВОЛС  «Уфа-</w:t>
            </w:r>
            <w:proofErr w:type="spellStart"/>
            <w:r>
              <w:rPr>
                <w:b/>
              </w:rPr>
              <w:t>Толбазы</w:t>
            </w:r>
            <w:proofErr w:type="spellEnd"/>
            <w:r>
              <w:rPr>
                <w:b/>
              </w:rPr>
              <w:t>-Стерлитамак» и «Уфа-Чишмы-Давлеканово».</w:t>
            </w:r>
          </w:p>
          <w:p w:rsidR="0014229A" w:rsidRPr="00227C39" w:rsidRDefault="009E3F77" w:rsidP="009E3F77">
            <w:pPr>
              <w:pStyle w:val="Default"/>
              <w:jc w:val="both"/>
              <w:rPr>
                <w:iCs/>
              </w:rPr>
            </w:pPr>
            <w:r>
              <w:rPr>
                <w:lang w:eastAsia="ru-RU"/>
              </w:rPr>
              <w:t xml:space="preserve">      </w:t>
            </w:r>
            <w:r w:rsidRPr="00BE2DAA">
              <w:rPr>
                <w:rFonts w:eastAsia="Times New Roman"/>
                <w:lang w:eastAsia="ru-RU"/>
              </w:rPr>
              <w:t xml:space="preserve">Состав и объем </w:t>
            </w:r>
            <w:proofErr w:type="gramStart"/>
            <w:r w:rsidRPr="00DE5967">
              <w:rPr>
                <w:rFonts w:eastAsia="Times New Roman"/>
                <w:lang w:eastAsia="ru-RU"/>
              </w:rPr>
              <w:t>работ</w:t>
            </w:r>
            <w:proofErr w:type="gramEnd"/>
            <w:r w:rsidRPr="00DE5967">
              <w:rPr>
                <w:rFonts w:eastAsia="Times New Roman"/>
                <w:lang w:eastAsia="ru-RU"/>
              </w:rPr>
              <w:t xml:space="preserve"> и иные требования к работам определяются Техническим заданием (Приложение №</w:t>
            </w:r>
            <w:r>
              <w:rPr>
                <w:rFonts w:eastAsia="Times New Roman"/>
                <w:lang w:eastAsia="ru-RU"/>
              </w:rPr>
              <w:t>1.1</w:t>
            </w:r>
            <w:r w:rsidRPr="00DE5967">
              <w:rPr>
                <w:rFonts w:eastAsia="Times New Roman"/>
                <w:lang w:eastAsia="ru-RU"/>
              </w:rPr>
              <w:t xml:space="preserve"> к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43157" w:rsidRPr="00C0473F" w:rsidRDefault="00643157" w:rsidP="00643157">
            <w:pPr>
              <w:jc w:val="both"/>
              <w:rPr>
                <w:iCs/>
              </w:rPr>
            </w:pPr>
            <w:r w:rsidRPr="00D22335">
              <w:rPr>
                <w:iCs/>
              </w:rPr>
              <w:t xml:space="preserve">Начальная </w:t>
            </w:r>
            <w:r w:rsidRPr="00C0473F">
              <w:rPr>
                <w:iCs/>
              </w:rPr>
              <w:t>(максимальная) цена составляет</w:t>
            </w:r>
          </w:p>
          <w:p w:rsidR="00643157" w:rsidRPr="00C0473F" w:rsidRDefault="00643157" w:rsidP="00643157">
            <w:pPr>
              <w:jc w:val="both"/>
            </w:pPr>
            <w:r w:rsidRPr="00C0473F">
              <w:rPr>
                <w:b/>
              </w:rPr>
              <w:t>780 000,00</w:t>
            </w:r>
            <w:r w:rsidRPr="00C0473F">
              <w:t xml:space="preserve"> </w:t>
            </w:r>
            <w:r w:rsidRPr="00C0473F">
              <w:rPr>
                <w:iCs/>
              </w:rPr>
              <w:t>(Семьсот восемьдесят тысяч</w:t>
            </w:r>
            <w:r>
              <w:rPr>
                <w:iCs/>
              </w:rPr>
              <w:t>) рублей 00 копеек</w:t>
            </w:r>
            <w:r w:rsidRPr="00C0473F">
              <w:rPr>
                <w:iCs/>
              </w:rPr>
              <w:t xml:space="preserve"> без НДС, кроме того </w:t>
            </w:r>
            <w:r>
              <w:rPr>
                <w:iCs/>
              </w:rPr>
              <w:t xml:space="preserve">сумма </w:t>
            </w:r>
            <w:r w:rsidRPr="00C0473F">
              <w:rPr>
                <w:iCs/>
              </w:rPr>
              <w:t xml:space="preserve">НДС (18%) </w:t>
            </w:r>
            <w:r w:rsidRPr="00C0473F">
              <w:t>140 400</w:t>
            </w:r>
            <w:r w:rsidRPr="00C0473F">
              <w:rPr>
                <w:iCs/>
              </w:rPr>
              <w:t xml:space="preserve"> (Сто сорок тысяч четыреста) рублей 00 копеек.</w:t>
            </w:r>
          </w:p>
          <w:p w:rsidR="00643157" w:rsidRPr="00D22335" w:rsidRDefault="00643157" w:rsidP="00643157">
            <w:pPr>
              <w:pStyle w:val="Default"/>
              <w:jc w:val="both"/>
              <w:rPr>
                <w:iCs/>
              </w:rPr>
            </w:pPr>
            <w:r w:rsidRPr="00C0473F">
              <w:rPr>
                <w:iCs/>
              </w:rPr>
              <w:t>Установление</w:t>
            </w:r>
            <w:r w:rsidRPr="00D22335">
              <w:rPr>
                <w:iCs/>
              </w:rPr>
              <w:t xml:space="preserve">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4229A" w:rsidRPr="00235AF8" w:rsidRDefault="00643157" w:rsidP="00643157">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w:t>
                  </w:r>
                  <w:r w:rsidR="0014229A" w:rsidRPr="00561F9A">
                    <w:rPr>
                      <w:rFonts w:cs="Arial"/>
                      <w:color w:val="000000"/>
                    </w:rPr>
                    <w:lastRenderedPageBreak/>
                    <w:t xml:space="preserve">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w:t>
                  </w:r>
                  <w:r w:rsidRPr="00D82466">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532169">
                  <w:pPr>
                    <w:pStyle w:val="a4"/>
                    <w:ind w:left="0"/>
                    <w:rPr>
                      <w:rFonts w:cs="Arial"/>
                      <w:color w:val="000000"/>
                    </w:rPr>
                  </w:pPr>
                  <w:r w:rsidRPr="006603A3">
                    <w:rPr>
                      <w:rFonts w:cs="Arial"/>
                      <w:color w:val="000000"/>
                    </w:rPr>
                    <w:t>9</w:t>
                  </w:r>
                  <w:r w:rsidR="00532169">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4229A" w:rsidRPr="00046853" w:rsidRDefault="008F26C5" w:rsidP="001C7491">
                  <w:pPr>
                    <w:pStyle w:val="a4"/>
                    <w:ind w:left="0"/>
                    <w:rPr>
                      <w:rFonts w:cs="Arial"/>
                      <w:color w:val="000000"/>
                    </w:rPr>
                  </w:pPr>
                  <w:r w:rsidRPr="00046853">
                    <w:rPr>
                      <w:rFonts w:cs="Arial"/>
                      <w:color w:val="000000"/>
                    </w:rPr>
                    <w:t>Сроки оплаты по договору</w:t>
                  </w:r>
                </w:p>
              </w:tc>
              <w:tc>
                <w:tcPr>
                  <w:tcW w:w="992" w:type="dxa"/>
                  <w:shd w:val="clear" w:color="auto" w:fill="auto"/>
                </w:tcPr>
                <w:p w:rsidR="0014229A" w:rsidRPr="00046853" w:rsidRDefault="00167478" w:rsidP="003B25CB">
                  <w:pPr>
                    <w:pStyle w:val="a4"/>
                    <w:ind w:left="0"/>
                    <w:rPr>
                      <w:rFonts w:cs="Arial"/>
                      <w:color w:val="000000"/>
                    </w:rPr>
                  </w:pPr>
                  <w:r>
                    <w:rPr>
                      <w:rFonts w:cs="Arial"/>
                      <w:color w:val="000000"/>
                    </w:rPr>
                    <w:t>3</w:t>
                  </w:r>
                  <w:r w:rsidR="00046853" w:rsidRPr="00046853">
                    <w:rPr>
                      <w:rFonts w:cs="Arial"/>
                      <w:color w:val="000000"/>
                    </w:rPr>
                    <w:t>%</w:t>
                  </w:r>
                </w:p>
              </w:tc>
              <w:tc>
                <w:tcPr>
                  <w:tcW w:w="3119" w:type="dxa"/>
                  <w:shd w:val="clear" w:color="auto" w:fill="auto"/>
                </w:tcPr>
                <w:p w:rsidR="00046853" w:rsidRPr="00046853" w:rsidRDefault="00046853" w:rsidP="00046853">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sidR="00C901EB">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sidR="00C901EB">
                    <w:rPr>
                      <w:rFonts w:eastAsia="MS Mincho"/>
                      <w:i/>
                      <w:iCs/>
                      <w:color w:val="2E74B5" w:themeColor="accent1" w:themeShade="BF"/>
                      <w:lang w:eastAsia="x-none"/>
                    </w:rPr>
                    <w:t>»</w:t>
                  </w:r>
                  <w:r w:rsidRPr="00046853">
                    <w:rPr>
                      <w:i/>
                      <w:color w:val="2E74B5" w:themeColor="accent1" w:themeShade="BF"/>
                    </w:rPr>
                    <w:t xml:space="preserve"> </w:t>
                  </w:r>
                  <w:r w:rsidR="00C901EB">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14229A" w:rsidRPr="00046853" w:rsidRDefault="00046853" w:rsidP="00046853">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r w:rsidR="00532169" w:rsidTr="00ED6883">
              <w:tc>
                <w:tcPr>
                  <w:tcW w:w="3459" w:type="dxa"/>
                  <w:shd w:val="clear" w:color="auto" w:fill="auto"/>
                </w:tcPr>
                <w:p w:rsidR="00532169" w:rsidRPr="00046853" w:rsidRDefault="00532169" w:rsidP="00532169">
                  <w:pPr>
                    <w:pStyle w:val="a4"/>
                    <w:ind w:left="0"/>
                    <w:rPr>
                      <w:rFonts w:cs="Arial"/>
                      <w:color w:val="000000"/>
                    </w:rPr>
                  </w:pPr>
                  <w:r>
                    <w:rPr>
                      <w:rFonts w:cs="Arial"/>
                      <w:color w:val="000000"/>
                    </w:rPr>
                    <w:t xml:space="preserve">Опыт </w:t>
                  </w:r>
                  <w:r w:rsidRPr="00532169">
                    <w:rPr>
                      <w:rStyle w:val="defaultdocbaseattributestylewithoutnowrap1"/>
                      <w:rFonts w:ascii="Times New Roman" w:hAnsi="Times New Roman" w:cs="Times New Roman"/>
                      <w:sz w:val="24"/>
                      <w:szCs w:val="24"/>
                    </w:rPr>
                    <w:t xml:space="preserve">исполнения договоров на выполнение работ, аналогичных </w:t>
                  </w:r>
                  <w:proofErr w:type="gramStart"/>
                  <w:r w:rsidRPr="00532169">
                    <w:rPr>
                      <w:rStyle w:val="defaultdocbaseattributestylewithoutnowrap1"/>
                      <w:rFonts w:ascii="Times New Roman" w:hAnsi="Times New Roman" w:cs="Times New Roman"/>
                      <w:sz w:val="24"/>
                      <w:szCs w:val="24"/>
                    </w:rPr>
                    <w:t>закупаемым</w:t>
                  </w:r>
                  <w:proofErr w:type="gramEnd"/>
                  <w:r>
                    <w:rPr>
                      <w:rStyle w:val="defaultdocbaseattributestylewithoutnowrap1"/>
                      <w:rFonts w:ascii="Times New Roman" w:hAnsi="Times New Roman" w:cs="Times New Roman"/>
                      <w:sz w:val="24"/>
                      <w:szCs w:val="24"/>
                    </w:rPr>
                    <w:t xml:space="preserve"> не менее 3-х лет</w:t>
                  </w:r>
                </w:p>
              </w:tc>
              <w:tc>
                <w:tcPr>
                  <w:tcW w:w="992" w:type="dxa"/>
                  <w:shd w:val="clear" w:color="auto" w:fill="auto"/>
                </w:tcPr>
                <w:p w:rsidR="00532169" w:rsidRDefault="00532169" w:rsidP="003B25CB">
                  <w:pPr>
                    <w:pStyle w:val="a4"/>
                    <w:ind w:left="0"/>
                    <w:rPr>
                      <w:rFonts w:cs="Arial"/>
                      <w:color w:val="000000"/>
                    </w:rPr>
                  </w:pPr>
                  <w:r>
                    <w:rPr>
                      <w:rFonts w:cs="Arial"/>
                      <w:color w:val="000000"/>
                    </w:rPr>
                    <w:t>2%</w:t>
                  </w:r>
                </w:p>
              </w:tc>
              <w:tc>
                <w:tcPr>
                  <w:tcW w:w="3119" w:type="dxa"/>
                  <w:shd w:val="clear" w:color="auto" w:fill="auto"/>
                </w:tcPr>
                <w:p w:rsidR="00532169" w:rsidRDefault="00532169" w:rsidP="00532169">
                  <w:pPr>
                    <w:jc w:val="both"/>
                  </w:pPr>
                  <w:r>
                    <w:t>Оценивается опыт исполнения договоров на выполнение работ,  аналогичных предмету Открытого запроса предложений.</w:t>
                  </w:r>
                </w:p>
                <w:p w:rsidR="00532169" w:rsidRDefault="00532169" w:rsidP="00532169">
                  <w:pPr>
                    <w:jc w:val="both"/>
                  </w:pPr>
                </w:p>
                <w:p w:rsidR="00532169" w:rsidRDefault="00532169" w:rsidP="00532169">
                  <w:pPr>
                    <w:pStyle w:val="a4"/>
                    <w:ind w:left="0"/>
                  </w:pPr>
                  <w:r>
                    <w:t>Подтверждается:</w:t>
                  </w:r>
                </w:p>
                <w:p w:rsidR="00532169" w:rsidRPr="00046853" w:rsidRDefault="00532169" w:rsidP="00532169">
                  <w:pPr>
                    <w:jc w:val="both"/>
                  </w:pPr>
                  <w:r>
                    <w:t xml:space="preserve">Копиями выполненных договоров и актов приемки, подтверждающих выполнение работ, аналогичных предмету Открытого запроса предложений за последние </w:t>
                  </w:r>
                  <w:r>
                    <w:t>3</w:t>
                  </w:r>
                  <w:r>
                    <w:t xml:space="preserve"> года, предшествующие дате размещения извещения о проведении закупки либо перечнем соответствующих </w:t>
                  </w:r>
                  <w:r>
                    <w:lastRenderedPageBreak/>
                    <w:t xml:space="preserve">договоров по </w:t>
                  </w:r>
                  <w:hyperlink r:id="rId22" w:anchor="_Форма_3_ТЕХНИКО-КОММЕРЧЕСКОЕ" w:history="1">
                    <w:r w:rsidRPr="00532169">
                      <w:rPr>
                        <w:rStyle w:val="a3"/>
                        <w:color w:val="auto"/>
                        <w:u w:val="none"/>
                      </w:rPr>
                      <w:t>форме</w:t>
                    </w:r>
                    <w:r>
                      <w:rPr>
                        <w:rStyle w:val="a3"/>
                      </w:rPr>
                      <w:t xml:space="preserve"> </w:t>
                    </w:r>
                  </w:hyperlink>
                  <w:r>
                    <w:t xml:space="preserve">Приложения №7 к Извещению о закупке, с </w:t>
                  </w:r>
                  <w:r>
                    <w:t xml:space="preserve"> обязательным приложением копий актов приемки, подтверждающих выполнение работ, аналогичных предмету закупки.</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w:t>
            </w:r>
            <w:bookmarkStart w:id="17" w:name="_GoBack"/>
            <w:bookmarkEnd w:id="17"/>
            <w:r w:rsidRPr="00C25CA1">
              <w:t>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w:t>
            </w:r>
            <w:r>
              <w:lastRenderedPageBreak/>
              <w:t xml:space="preserve">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43157" w:rsidRPr="0055437F" w:rsidRDefault="00643157" w:rsidP="00643157">
            <w:pPr>
              <w:autoSpaceDE w:val="0"/>
              <w:autoSpaceDN w:val="0"/>
              <w:adjustRightInd w:val="0"/>
              <w:jc w:val="both"/>
              <w:rPr>
                <w:rFonts w:eastAsia="Calibri"/>
                <w:iCs/>
                <w:color w:val="000000"/>
              </w:rPr>
            </w:pPr>
            <w:r w:rsidRPr="0055437F">
              <w:rPr>
                <w:rFonts w:eastAsia="Calibri"/>
                <w:bCs/>
                <w:color w:val="000000"/>
              </w:rPr>
              <w:t>Место, условия выполнения работ определяются Техническим заданием (Приложение № 1.1 к настоящему Извещению) и Планом-графиком выполнения кадастровых работ (Приложение №1.2 к настоящему извещению)</w:t>
            </w:r>
            <w:r w:rsidRPr="0055437F">
              <w:rPr>
                <w:iCs/>
              </w:rPr>
              <w:t>.</w:t>
            </w:r>
            <w:r w:rsidRPr="0055437F">
              <w:rPr>
                <w:rFonts w:eastAsia="Calibri"/>
                <w:iCs/>
                <w:color w:val="000000"/>
              </w:rPr>
              <w:t xml:space="preserve"> </w:t>
            </w:r>
          </w:p>
          <w:p w:rsidR="00643157" w:rsidRPr="00A0202E" w:rsidRDefault="00643157" w:rsidP="00643157">
            <w:pPr>
              <w:autoSpaceDE w:val="0"/>
              <w:autoSpaceDN w:val="0"/>
              <w:adjustRightInd w:val="0"/>
              <w:jc w:val="both"/>
              <w:rPr>
                <w:rFonts w:eastAsia="Calibri"/>
                <w:iCs/>
                <w:color w:val="000000"/>
              </w:rPr>
            </w:pPr>
            <w:r w:rsidRPr="00A0202E">
              <w:t xml:space="preserve">Срок исполнения: до </w:t>
            </w:r>
            <w:r>
              <w:t>31</w:t>
            </w:r>
            <w:r w:rsidRPr="00A0202E">
              <w:t xml:space="preserve"> декабря  2015г.</w:t>
            </w:r>
          </w:p>
          <w:p w:rsidR="0014229A" w:rsidRPr="00F84878" w:rsidRDefault="0014229A" w:rsidP="0081021F">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84DA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w:t>
            </w:r>
            <w:r>
              <w:lastRenderedPageBreak/>
              <w:t>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84DA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p w:rsidR="000B7587" w:rsidRPr="00326927" w:rsidRDefault="000B7587" w:rsidP="005E04C1">
            <w:pPr>
              <w:tabs>
                <w:tab w:val="left" w:pos="993"/>
              </w:tabs>
              <w:ind w:firstLine="415"/>
              <w:jc w:val="both"/>
              <w:rPr>
                <w:b/>
              </w:rPr>
            </w:pP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F84D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F84D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w:t>
            </w:r>
            <w:r w:rsidR="0014377F" w:rsidRPr="007D2576">
              <w:lastRenderedPageBreak/>
              <w:t xml:space="preserve">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3"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lastRenderedPageBreak/>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84D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84D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w:t>
            </w:r>
            <w:r>
              <w:lastRenderedPageBreak/>
              <w:t>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C52740" w:rsidP="00C52740">
            <w:pPr>
              <w:ind w:firstLine="528"/>
              <w:jc w:val="both"/>
            </w:pPr>
            <w:r w:rsidRPr="00551D46">
              <w:t xml:space="preserve">Заказчик обязан в течение </w:t>
            </w:r>
            <w:r>
              <w:t>30 (тридцати)</w:t>
            </w:r>
            <w:r w:rsidRPr="00551D46">
              <w:t xml:space="preserve"> календарных дней со дня подписания сторонами Акта приемки-сдачи выполненных работ и выполнения Подрядчиком всех работ по настоящему договору, после устранения выявленных недостатков, передачи Заказчику всей документации на объект, </w:t>
            </w:r>
            <w:proofErr w:type="gramStart"/>
            <w:r w:rsidRPr="00551D46">
              <w:t>оплатить стоимость выполненных</w:t>
            </w:r>
            <w:proofErr w:type="gramEnd"/>
            <w:r w:rsidRPr="00551D46">
              <w:t xml:space="preserve"> работ</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5"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6"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643157">
        <w:t>.1</w:t>
      </w:r>
      <w:r w:rsidR="00C20F72">
        <w:t xml:space="preserve"> к Извещению),</w:t>
      </w:r>
      <w:r w:rsidR="00643157">
        <w:t xml:space="preserve"> </w:t>
      </w:r>
      <w:r w:rsidR="00643157" w:rsidRPr="0055437F">
        <w:rPr>
          <w:rFonts w:eastAsia="Calibri"/>
          <w:bCs/>
          <w:color w:val="000000"/>
        </w:rPr>
        <w:t>План-график выполнения кадастровых работ (Приложение №1.2 к извещению)</w:t>
      </w:r>
      <w:r w:rsidR="00643157">
        <w:rPr>
          <w:rFonts w:eastAsia="Calibri"/>
          <w:bCs/>
          <w:color w:val="000000"/>
        </w:rPr>
        <w:t>,</w:t>
      </w:r>
      <w:r w:rsidR="00C20F72">
        <w:t xml:space="preserve">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w:t>
      </w:r>
      <w:proofErr w:type="gramEnd"/>
      <w:r w:rsidR="005C6DCB" w:rsidRPr="005C6DCB">
        <w:t xml:space="preserve"> числе </w:t>
      </w:r>
      <w:proofErr w:type="gramStart"/>
      <w:r w:rsidR="005C6DCB" w:rsidRPr="005C6DCB">
        <w:t>конечных</w:t>
      </w:r>
      <w:proofErr w:type="gramEnd"/>
      <w:r w:rsidR="005C6DCB" w:rsidRPr="005C6DCB">
        <w:t>) (Приложение № 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643157">
        <w:t>.</w:t>
      </w:r>
    </w:p>
    <w:p w:rsidR="003B25CB" w:rsidRDefault="003B25CB"/>
    <w:sectPr w:rsidR="003B25CB" w:rsidSect="003B25CB">
      <w:headerReference w:type="first" r:id="rId2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BBA" w:rsidRDefault="00755BBA" w:rsidP="0014229A">
      <w:r>
        <w:separator/>
      </w:r>
    </w:p>
  </w:endnote>
  <w:endnote w:type="continuationSeparator" w:id="0">
    <w:p w:rsidR="00755BBA" w:rsidRDefault="00755BB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BBA" w:rsidRDefault="00755BBA" w:rsidP="0014229A">
      <w:r>
        <w:separator/>
      </w:r>
    </w:p>
  </w:footnote>
  <w:footnote w:type="continuationSeparator" w:id="0">
    <w:p w:rsidR="00755BBA" w:rsidRDefault="00755BB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6"/>
      <w:jc w:val="center"/>
    </w:pPr>
    <w:r>
      <w:fldChar w:fldCharType="begin"/>
    </w:r>
    <w:r>
      <w:instrText>PAGE   \* MERGEFORMAT</w:instrText>
    </w:r>
    <w:r>
      <w:fldChar w:fldCharType="separate"/>
    </w:r>
    <w:r w:rsidR="00532169">
      <w:rPr>
        <w:noProof/>
      </w:rPr>
      <w:t>1</w:t>
    </w:r>
    <w:r>
      <w:fldChar w:fldCharType="end"/>
    </w:r>
  </w:p>
  <w:p w:rsidR="005807EB" w:rsidRDefault="0058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94822"/>
    <w:rsid w:val="002B4C0E"/>
    <w:rsid w:val="002B6897"/>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2169"/>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351F8"/>
    <w:rsid w:val="00643157"/>
    <w:rsid w:val="0065239C"/>
    <w:rsid w:val="006603A3"/>
    <w:rsid w:val="00660B32"/>
    <w:rsid w:val="006B054C"/>
    <w:rsid w:val="006B7711"/>
    <w:rsid w:val="006C0CCF"/>
    <w:rsid w:val="006F1C74"/>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9B7532"/>
    <w:rsid w:val="009E3F77"/>
    <w:rsid w:val="00A02B2E"/>
    <w:rsid w:val="00A24CB7"/>
    <w:rsid w:val="00A27D60"/>
    <w:rsid w:val="00A667E3"/>
    <w:rsid w:val="00AB0FBA"/>
    <w:rsid w:val="00AD6F23"/>
    <w:rsid w:val="00AE4373"/>
    <w:rsid w:val="00B37EB4"/>
    <w:rsid w:val="00BA7B82"/>
    <w:rsid w:val="00BE09E3"/>
    <w:rsid w:val="00BE17CB"/>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94587"/>
    <w:rsid w:val="00D97FAB"/>
    <w:rsid w:val="00DA4E0B"/>
    <w:rsid w:val="00DB2617"/>
    <w:rsid w:val="00DC450D"/>
    <w:rsid w:val="00E0314F"/>
    <w:rsid w:val="00E245A7"/>
    <w:rsid w:val="00E42B67"/>
    <w:rsid w:val="00E53751"/>
    <w:rsid w:val="00E738A5"/>
    <w:rsid w:val="00E74D2C"/>
    <w:rsid w:val="00E75FC5"/>
    <w:rsid w:val="00EA1830"/>
    <w:rsid w:val="00EB04A4"/>
    <w:rsid w:val="00EB346C"/>
    <w:rsid w:val="00ED6883"/>
    <w:rsid w:val="00ED7BA7"/>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hcherbakov@bashtel.ru" TargetMode="External"/><Relationship Id="rId26"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mailto:a.sangalov@bashtel.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file:///C:\Users\e.farrahova\Downloads\&#1048;&#1047;&#1042;&#1045;&#1065;&#1045;&#1053;&#1048;&#1045;_&#1054;_&#1047;&#1040;&#1050;&#1059;&#1055;&#1050;&#1045;.docx"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B53F3-778B-43AF-945A-26FCDBA1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20</Pages>
  <Words>7807</Words>
  <Characters>44504</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22</cp:revision>
  <cp:lastPrinted>2015-10-30T05:53:00Z</cp:lastPrinted>
  <dcterms:created xsi:type="dcterms:W3CDTF">2015-10-13T11:12:00Z</dcterms:created>
  <dcterms:modified xsi:type="dcterms:W3CDTF">2015-11-13T06:05:00Z</dcterms:modified>
</cp:coreProperties>
</file>