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E7563D">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377C">
        <w:fldChar w:fldCharType="begin"/>
      </w:r>
      <w:r>
        <w:instrText xml:space="preserve"> REF _Ref378108959 \r \h </w:instrText>
      </w:r>
      <w:r w:rsidR="0068377C">
        <w:fldChar w:fldCharType="separate"/>
      </w:r>
      <w:r w:rsidR="00E7563D">
        <w:t>3</w:t>
      </w:r>
      <w:r w:rsidR="0068377C">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E7563D">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8377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w:t>
      </w:r>
      <w:proofErr w:type="spellStart"/>
      <w:r w:rsidR="008A40EB">
        <w:t>Башинформсвязь</w:t>
      </w:r>
      <w:proofErr w:type="spellEnd"/>
      <w:r w:rsidR="008A40EB">
        <w:t>»</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spellStart"/>
            <w:proofErr w:type="gramStart"/>
            <w:r w:rsidRPr="004679E7">
              <w:rPr>
                <w:b/>
              </w:rPr>
              <w:t>п</w:t>
            </w:r>
            <w:proofErr w:type="spellEnd"/>
            <w:proofErr w:type="gramEnd"/>
            <w:r w:rsidRPr="004679E7">
              <w:rPr>
                <w:b/>
              </w:rPr>
              <w:t>/</w:t>
            </w:r>
            <w:proofErr w:type="spellStart"/>
            <w:r w:rsidRPr="004679E7">
              <w:rPr>
                <w:b/>
              </w:rPr>
              <w:t>п</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spellStart"/>
            <w:proofErr w:type="gramStart"/>
            <w:r w:rsidRPr="004679E7">
              <w:rPr>
                <w:b/>
              </w:rPr>
              <w:t>п</w:t>
            </w:r>
            <w:proofErr w:type="spellEnd"/>
            <w:proofErr w:type="gramEnd"/>
            <w:r>
              <w:rPr>
                <w:b/>
              </w:rPr>
              <w:t>/</w:t>
            </w:r>
            <w:proofErr w:type="spellStart"/>
            <w:r>
              <w:rPr>
                <w:b/>
              </w:rPr>
              <w:t>п</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spellStart"/>
            <w:proofErr w:type="gramStart"/>
            <w:r>
              <w:rPr>
                <w:b/>
              </w:rPr>
              <w:t>п</w:t>
            </w:r>
            <w:proofErr w:type="spellEnd"/>
            <w:proofErr w:type="gramEnd"/>
            <w:r>
              <w:rPr>
                <w:b/>
              </w:rPr>
              <w:t>/</w:t>
            </w:r>
            <w:proofErr w:type="spellStart"/>
            <w:r>
              <w:rPr>
                <w:b/>
              </w:rPr>
              <w:t>п</w:t>
            </w:r>
            <w:proofErr w:type="spellEnd"/>
          </w:p>
        </w:tc>
      </w:tr>
      <w:tr w:rsidR="0014229A" w:rsidRPr="00E7563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Публичное акционерное общество «</w:t>
            </w:r>
            <w:proofErr w:type="spellStart"/>
            <w:r w:rsidRPr="000F4823">
              <w:rPr>
                <w:bCs/>
              </w:rPr>
              <w:t>Башинформсвязь</w:t>
            </w:r>
            <w:proofErr w:type="spellEnd"/>
            <w:r w:rsidRPr="000F4823">
              <w:rPr>
                <w:bCs/>
              </w:rPr>
              <w:t>» (ПАО «</w:t>
            </w:r>
            <w:proofErr w:type="spellStart"/>
            <w:r w:rsidRPr="000F4823">
              <w:rPr>
                <w:bCs/>
              </w:rPr>
              <w:t>Башинформсвязь</w:t>
            </w:r>
            <w:proofErr w:type="spellEnd"/>
            <w:r w:rsidRPr="000F4823">
              <w:rPr>
                <w:bCs/>
              </w:rPr>
              <w:t xml:space="preserve">»), </w:t>
            </w:r>
          </w:p>
          <w:p w:rsidR="000F4823" w:rsidRPr="000F4823" w:rsidRDefault="000F4823" w:rsidP="000F4823">
            <w:pPr>
              <w:pStyle w:val="Default"/>
              <w:rPr>
                <w:bCs/>
              </w:rPr>
            </w:pPr>
            <w:r w:rsidRPr="000F4823">
              <w:rPr>
                <w:bCs/>
              </w:rPr>
              <w:t xml:space="preserve">Место нахождения: 450000, Республика Башкортостан, </w:t>
            </w:r>
            <w:proofErr w:type="gramStart"/>
            <w:r w:rsidRPr="000F4823">
              <w:rPr>
                <w:bCs/>
              </w:rPr>
              <w:t>г</w:t>
            </w:r>
            <w:proofErr w:type="gramEnd"/>
            <w:r w:rsidRPr="000F4823">
              <w:rPr>
                <w:bCs/>
              </w:rPr>
              <w:t>.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w:t>
            </w:r>
            <w:proofErr w:type="gramStart"/>
            <w:r w:rsidRPr="000F4823">
              <w:rPr>
                <w:bCs/>
              </w:rPr>
              <w:t>г</w:t>
            </w:r>
            <w:proofErr w:type="gramEnd"/>
            <w:r w:rsidRPr="000F4823">
              <w:rPr>
                <w:bCs/>
              </w:rPr>
              <w:t xml:space="preserve">.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E7563D" w:rsidRDefault="00E7563D" w:rsidP="00E7563D">
            <w:r>
              <w:t>Галеев Ильдар Мансурович</w:t>
            </w:r>
          </w:p>
          <w:p w:rsidR="0014229A" w:rsidRPr="00907A5F" w:rsidRDefault="00E7563D" w:rsidP="00E7563D">
            <w:pPr>
              <w:pStyle w:val="Default"/>
            </w:pPr>
            <w:r>
              <w:t>Тел</w:t>
            </w:r>
            <w:r w:rsidRPr="00907A5F">
              <w:t xml:space="preserve">. </w:t>
            </w:r>
            <w:r w:rsidRPr="00907A5F">
              <w:rPr>
                <w:bCs/>
              </w:rPr>
              <w:t>+ 7 (347) 221-58-75</w:t>
            </w:r>
            <w:r w:rsidRPr="00907A5F">
              <w:t xml:space="preserve">; </w:t>
            </w:r>
            <w:r w:rsidRPr="00523AF3">
              <w:rPr>
                <w:bCs/>
                <w:lang w:val="en-US"/>
              </w:rPr>
              <w:t>e</w:t>
            </w:r>
            <w:r w:rsidRPr="00907A5F">
              <w:rPr>
                <w:bCs/>
              </w:rPr>
              <w:t>-</w:t>
            </w:r>
            <w:r w:rsidRPr="00523AF3">
              <w:rPr>
                <w:bCs/>
                <w:lang w:val="en-US"/>
              </w:rPr>
              <w:t>mail</w:t>
            </w:r>
            <w:r w:rsidRPr="00907A5F">
              <w:rPr>
                <w:bCs/>
              </w:rPr>
              <w:t>:</w:t>
            </w:r>
            <w:r w:rsidRPr="00907A5F">
              <w:rPr>
                <w:rFonts w:eastAsia="Times New Roman"/>
                <w:color w:val="777777"/>
                <w:lang w:eastAsia="ru-RU"/>
              </w:rPr>
              <w:t xml:space="preserve"> </w:t>
            </w:r>
            <w:hyperlink r:id="rId17" w:history="1">
              <w:r w:rsidRPr="00943954">
                <w:rPr>
                  <w:rStyle w:val="a3"/>
                  <w:lang w:val="en-US"/>
                </w:rPr>
                <w:t>i</w:t>
              </w:r>
              <w:r w:rsidRPr="00907A5F">
                <w:rPr>
                  <w:rStyle w:val="a3"/>
                </w:rPr>
                <w:t>.</w:t>
              </w:r>
              <w:r w:rsidRPr="00943954">
                <w:rPr>
                  <w:rStyle w:val="a3"/>
                  <w:lang w:val="en-US"/>
                </w:rPr>
                <w:t>galeev</w:t>
              </w:r>
              <w:r w:rsidRPr="00907A5F">
                <w:rPr>
                  <w:rStyle w:val="a3"/>
                </w:rPr>
                <w:t>@</w:t>
              </w:r>
              <w:r w:rsidRPr="00943954">
                <w:rPr>
                  <w:rStyle w:val="a3"/>
                  <w:lang w:val="en-US"/>
                </w:rPr>
                <w:t>bashtel</w:t>
              </w:r>
              <w:r w:rsidRPr="00907A5F">
                <w:rPr>
                  <w:rStyle w:val="a3"/>
                </w:rPr>
                <w:t>.</w:t>
              </w:r>
              <w:r w:rsidRPr="0094395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07A5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201C7">
            <w:r>
              <w:t>«</w:t>
            </w:r>
            <w:r w:rsidR="00907A5F">
              <w:t>1</w:t>
            </w:r>
            <w:r w:rsidR="00D201C7">
              <w:t>7</w:t>
            </w:r>
            <w:r w:rsidR="0014229A" w:rsidRPr="005C24A0">
              <w:t>»</w:t>
            </w:r>
            <w:r w:rsidR="000F4823">
              <w:rPr>
                <w:lang w:val="en-US"/>
              </w:rPr>
              <w:t xml:space="preserve"> </w:t>
            </w:r>
            <w:r w:rsidR="00907A5F">
              <w:t>мая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907A5F">
              <w:t>1</w:t>
            </w:r>
            <w:r w:rsidR="00D201C7">
              <w:t>7</w:t>
            </w:r>
            <w:r w:rsidR="007C6F21" w:rsidRPr="005C24A0">
              <w:t>»</w:t>
            </w:r>
            <w:r w:rsidR="007C6F21" w:rsidRPr="007C6F21">
              <w:t xml:space="preserve"> </w:t>
            </w:r>
            <w:r w:rsidR="00907A5F">
              <w:t>мая</w:t>
            </w:r>
            <w:r w:rsidR="007C6F21">
              <w:t xml:space="preserve"> 2016</w:t>
            </w:r>
            <w:r w:rsidR="007C6F21" w:rsidRPr="005C24A0">
              <w:t xml:space="preserve"> </w:t>
            </w:r>
            <w:r w:rsidR="007C17D3">
              <w:t xml:space="preserve">  года в </w:t>
            </w:r>
            <w:r w:rsidR="007C17D3">
              <w:lastRenderedPageBreak/>
              <w:t>1</w:t>
            </w:r>
            <w:r w:rsidR="00CF3D3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D201C7">
            <w:r>
              <w:t>«</w:t>
            </w:r>
            <w:r w:rsidR="00D201C7">
              <w:t>30</w:t>
            </w:r>
            <w:r w:rsidR="000F4823" w:rsidRPr="000F4823">
              <w:t xml:space="preserve">» </w:t>
            </w:r>
            <w:r w:rsidR="00907A5F">
              <w:t>мая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D201C7">
            <w:pPr>
              <w:rPr>
                <w:highlight w:val="lightGray"/>
              </w:rPr>
            </w:pPr>
            <w:r>
              <w:rPr>
                <w:iCs/>
              </w:rPr>
              <w:t>«</w:t>
            </w:r>
            <w:r w:rsidR="00D201C7">
              <w:rPr>
                <w:iCs/>
              </w:rPr>
              <w:t>30</w:t>
            </w:r>
            <w:r w:rsidR="000F4823" w:rsidRPr="000F4823">
              <w:rPr>
                <w:iCs/>
              </w:rPr>
              <w:t xml:space="preserve">» </w:t>
            </w:r>
            <w:r w:rsidR="00907A5F">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D201C7">
              <w:t>01</w:t>
            </w:r>
            <w:r w:rsidRPr="000F4823">
              <w:t xml:space="preserve">» </w:t>
            </w:r>
            <w:r w:rsidR="00D201C7">
              <w:t>июня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D201C7">
              <w:t>01</w:t>
            </w:r>
            <w:r w:rsidRPr="000F4823">
              <w:t xml:space="preserve">» </w:t>
            </w:r>
            <w:r w:rsidR="00D201C7">
              <w:t>июня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E7563D">
              <w:t>0</w:t>
            </w:r>
            <w:r w:rsidR="00D201C7">
              <w:t>8</w:t>
            </w:r>
            <w:r w:rsidRPr="000F4823">
              <w:t xml:space="preserve">» </w:t>
            </w:r>
            <w:r w:rsidR="00907A5F">
              <w:t>июня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 xml:space="preserve">Указанные этапы Открытого запроса предложений проводятся по адресу Заказчика: 450000, Республика Башкортостан, </w:t>
            </w:r>
            <w:proofErr w:type="gramStart"/>
            <w:r w:rsidRPr="000F4823">
              <w:rPr>
                <w:rFonts w:eastAsia="Calibri"/>
                <w:color w:val="000000"/>
                <w:lang w:eastAsia="en-US"/>
              </w:rPr>
              <w:t>г</w:t>
            </w:r>
            <w:proofErr w:type="gramEnd"/>
            <w:r w:rsidRPr="000F4823">
              <w:rPr>
                <w:rFonts w:eastAsia="Calibri"/>
                <w:color w:val="000000"/>
                <w:lang w:eastAsia="en-US"/>
              </w:rPr>
              <w:t>.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563D" w:rsidRPr="00972152" w:rsidRDefault="00E7563D" w:rsidP="00E7563D">
            <w:r w:rsidRPr="00972152">
              <w:rPr>
                <w:b/>
              </w:rPr>
              <w:t xml:space="preserve">Поставка </w:t>
            </w:r>
            <w:r>
              <w:rPr>
                <w:b/>
              </w:rPr>
              <w:t>метрологического оборудования</w:t>
            </w:r>
            <w:r w:rsidRPr="00972152">
              <w:rPr>
                <w:b/>
              </w:rPr>
              <w:t>.</w:t>
            </w:r>
            <w:r w:rsidRPr="00972152">
              <w:t xml:space="preserve"> </w:t>
            </w:r>
          </w:p>
          <w:p w:rsidR="0014229A" w:rsidRPr="00227C39" w:rsidRDefault="00E7563D" w:rsidP="00E7563D">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proofErr w:type="gramStart"/>
            <w:r w:rsidRPr="000F4823">
              <w:lastRenderedPageBreak/>
              <w:t xml:space="preserve">Товар должен соответствовать </w:t>
            </w:r>
            <w:proofErr w:type="spellStart"/>
            <w:r w:rsidRPr="000F4823">
              <w:t>ГОСТам</w:t>
            </w:r>
            <w:proofErr w:type="spellEnd"/>
            <w:r w:rsidRPr="000F4823">
              <w:t>, ТУ, принятым для данног</w:t>
            </w:r>
            <w:r>
              <w:t xml:space="preserve">о вида товаров, </w:t>
            </w:r>
            <w:r w:rsidRPr="000F4823">
              <w:t>приобретен у официальных дистрибьюторов, производителей товара.</w:t>
            </w:r>
            <w:proofErr w:type="gramEnd"/>
            <w:r w:rsidRPr="000F4823">
              <w:t xml:space="preserve">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563D" w:rsidRDefault="00E7563D" w:rsidP="00E7563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1 639 607,64 (Один миллион шестьсот тридцать девять тысяч шестьсот семь) рублей  64 коп</w:t>
            </w:r>
            <w:proofErr w:type="gramStart"/>
            <w:r>
              <w:rPr>
                <w:iCs/>
              </w:rPr>
              <w:t xml:space="preserve">., </w:t>
            </w:r>
            <w:proofErr w:type="gramEnd"/>
            <w:r>
              <w:rPr>
                <w:iCs/>
              </w:rPr>
              <w:t>с учетом НДС, в</w:t>
            </w:r>
            <w:r w:rsidRPr="00AA5094">
              <w:rPr>
                <w:iCs/>
              </w:rPr>
              <w:t xml:space="preserve"> том числе сумма НДС (18%) </w:t>
            </w:r>
            <w:r>
              <w:rPr>
                <w:iCs/>
              </w:rPr>
              <w:t xml:space="preserve">250 109,64 </w:t>
            </w:r>
            <w:r w:rsidRPr="00AA5094">
              <w:rPr>
                <w:iCs/>
              </w:rPr>
              <w:t>рубл</w:t>
            </w:r>
            <w:r>
              <w:rPr>
                <w:iCs/>
              </w:rPr>
              <w:t>ей</w:t>
            </w:r>
            <w:r w:rsidRPr="00AA5094">
              <w:rPr>
                <w:iCs/>
              </w:rPr>
              <w:t xml:space="preserve">. </w:t>
            </w:r>
          </w:p>
          <w:p w:rsidR="00E7563D" w:rsidRPr="00AA5094" w:rsidRDefault="00E7563D" w:rsidP="00E7563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1 389 498,00 рублей.</w:t>
            </w:r>
          </w:p>
          <w:p w:rsidR="00E7563D" w:rsidRPr="00AA5094" w:rsidRDefault="00E7563D" w:rsidP="00E7563D">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E7563D" w:rsidP="00E7563D">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w:t>
            </w:r>
            <w:bookmarkStart w:id="17" w:name="_GoBack"/>
            <w:bookmarkEnd w:id="17"/>
            <w:r w:rsidRPr="00972152">
              <w:t xml:space="preserve">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lastRenderedPageBreak/>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E7563D">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w:t>
            </w:r>
            <w:proofErr w:type="spellStart"/>
            <w:r w:rsidR="008A40EB">
              <w:t>Башинформсвязь</w:t>
            </w:r>
            <w:proofErr w:type="spellEnd"/>
            <w:r w:rsidR="008A40EB">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spellStart"/>
            <w:proofErr w:type="gramStart"/>
            <w:r>
              <w:t>п</w:t>
            </w:r>
            <w:proofErr w:type="spellEnd"/>
            <w:proofErr w:type="gramEnd"/>
            <w:r>
              <w:t>/</w:t>
            </w:r>
            <w:proofErr w:type="spellStart"/>
            <w:r>
              <w:t>п</w:t>
            </w:r>
            <w:proofErr w:type="spellEnd"/>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w:t>
            </w:r>
            <w:proofErr w:type="spellStart"/>
            <w:r w:rsidR="008A40EB">
              <w:t>Башинформсвязь</w:t>
            </w:r>
            <w:proofErr w:type="spellEnd"/>
            <w:r w:rsidR="008A40EB">
              <w:t>»</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proofErr w:type="spellStart"/>
            <w:r>
              <w:t>д</w:t>
            </w:r>
            <w:proofErr w:type="spellEnd"/>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E7563D">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E7563D">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E7563D">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E7563D">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E7563D">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E7563D">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proofErr w:type="spellStart"/>
            <w:r>
              <w:t>непредставленными</w:t>
            </w:r>
            <w:proofErr w:type="spellEnd"/>
            <w:r>
              <w:t>.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w:t>
              </w:r>
              <w:proofErr w:type="spellStart"/>
              <w:r w:rsidR="008A40EB" w:rsidRPr="00DD7F60">
                <w:rPr>
                  <w:rStyle w:val="a3"/>
                  <w:color w:val="auto"/>
                  <w:u w:val="none"/>
                </w:rPr>
                <w:t>Башинформсвязь</w:t>
              </w:r>
              <w:proofErr w:type="spellEnd"/>
              <w:r w:rsidR="008A40EB" w:rsidRPr="00DD7F60">
                <w:rPr>
                  <w:rStyle w:val="a3"/>
                  <w:color w:val="auto"/>
                  <w:u w:val="none"/>
                </w:rPr>
                <w:t>»</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w:t>
            </w:r>
            <w:proofErr w:type="spellStart"/>
            <w:r w:rsidR="008A40EB">
              <w:t>Башинформсвязь</w:t>
            </w:r>
            <w:proofErr w:type="spellEnd"/>
            <w:r w:rsidR="008A40EB">
              <w:t>»</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 xml:space="preserve">Заказчик вправе запросить представление </w:t>
            </w:r>
            <w:proofErr w:type="spellStart"/>
            <w:r w:rsidRPr="00B609B0">
              <w:t>непредставленных</w:t>
            </w:r>
            <w:proofErr w:type="spellEnd"/>
            <w:r w:rsidRPr="00B609B0">
              <w:t>,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w:t>
        </w:r>
        <w:proofErr w:type="spellStart"/>
        <w:r w:rsidR="008A40EB" w:rsidRPr="00B21CC5">
          <w:rPr>
            <w:rStyle w:val="a3"/>
            <w:color w:val="auto"/>
            <w:u w:val="none"/>
          </w:rPr>
          <w:t>Башинформсвязь</w:t>
        </w:r>
        <w:proofErr w:type="spellEnd"/>
        <w:r w:rsidR="008A40EB" w:rsidRPr="00B21CC5">
          <w:rPr>
            <w:rStyle w:val="a3"/>
            <w:color w:val="auto"/>
            <w:u w:val="none"/>
          </w:rPr>
          <w:t>»</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8F8" w:rsidRDefault="001008F8" w:rsidP="0014229A">
      <w:r>
        <w:separator/>
      </w:r>
    </w:p>
  </w:endnote>
  <w:endnote w:type="continuationSeparator" w:id="0">
    <w:p w:rsidR="001008F8" w:rsidRDefault="001008F8"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8F8" w:rsidRDefault="001008F8" w:rsidP="0014229A">
      <w:r>
        <w:separator/>
      </w:r>
    </w:p>
  </w:footnote>
  <w:footnote w:type="continuationSeparator" w:id="0">
    <w:p w:rsidR="001008F8" w:rsidRDefault="001008F8"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68377C">
    <w:pPr>
      <w:pStyle w:val="a6"/>
      <w:jc w:val="center"/>
    </w:pPr>
    <w:r>
      <w:fldChar w:fldCharType="begin"/>
    </w:r>
    <w:r w:rsidR="000F4823">
      <w:instrText>PAGE   \* MERGEFORMAT</w:instrText>
    </w:r>
    <w:r>
      <w:fldChar w:fldCharType="separate"/>
    </w:r>
    <w:r w:rsidR="00D201C7">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44527"/>
    <w:rsid w:val="00055701"/>
    <w:rsid w:val="00065944"/>
    <w:rsid w:val="00093E9C"/>
    <w:rsid w:val="000A4ECA"/>
    <w:rsid w:val="000D6510"/>
    <w:rsid w:val="000F4823"/>
    <w:rsid w:val="000F7BA5"/>
    <w:rsid w:val="001008F8"/>
    <w:rsid w:val="00140C43"/>
    <w:rsid w:val="0014229A"/>
    <w:rsid w:val="00155152"/>
    <w:rsid w:val="001B4383"/>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8377C"/>
    <w:rsid w:val="006F4B58"/>
    <w:rsid w:val="00712F06"/>
    <w:rsid w:val="00761639"/>
    <w:rsid w:val="007816DF"/>
    <w:rsid w:val="00797098"/>
    <w:rsid w:val="007C17D3"/>
    <w:rsid w:val="007C6F21"/>
    <w:rsid w:val="007E34B5"/>
    <w:rsid w:val="007F0125"/>
    <w:rsid w:val="00804945"/>
    <w:rsid w:val="008239AB"/>
    <w:rsid w:val="0083262D"/>
    <w:rsid w:val="00841B29"/>
    <w:rsid w:val="00846365"/>
    <w:rsid w:val="00855472"/>
    <w:rsid w:val="00892DC0"/>
    <w:rsid w:val="008A40EB"/>
    <w:rsid w:val="008A43E3"/>
    <w:rsid w:val="008C6A98"/>
    <w:rsid w:val="008C7A75"/>
    <w:rsid w:val="008D0F33"/>
    <w:rsid w:val="008F2EB6"/>
    <w:rsid w:val="00907A5F"/>
    <w:rsid w:val="00945B7A"/>
    <w:rsid w:val="009A662F"/>
    <w:rsid w:val="009F777B"/>
    <w:rsid w:val="00A02B2E"/>
    <w:rsid w:val="00A0524C"/>
    <w:rsid w:val="00A12E13"/>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CF3D39"/>
    <w:rsid w:val="00D201C7"/>
    <w:rsid w:val="00D37E5A"/>
    <w:rsid w:val="00D4565D"/>
    <w:rsid w:val="00D94587"/>
    <w:rsid w:val="00DC2D28"/>
    <w:rsid w:val="00DD7F60"/>
    <w:rsid w:val="00DF4173"/>
    <w:rsid w:val="00DF5A81"/>
    <w:rsid w:val="00E25078"/>
    <w:rsid w:val="00E32EFF"/>
    <w:rsid w:val="00E74D2C"/>
    <w:rsid w:val="00E7563D"/>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gal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CCDF7-E12D-4EF3-BDF4-E670FB86E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20</Pages>
  <Words>7908</Words>
  <Characters>45076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2016-04-01T06:03:00Z</cp:lastPrinted>
  <dcterms:created xsi:type="dcterms:W3CDTF">2015-10-07T04:10:00Z</dcterms:created>
  <dcterms:modified xsi:type="dcterms:W3CDTF">2016-05-17T07:06:00Z</dcterms:modified>
</cp:coreProperties>
</file>