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C7651">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C7651">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C7651">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81878"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534C47"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6"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r w:rsidRPr="000F4823">
                <w:rPr>
                  <w:rStyle w:val="a3"/>
                  <w:bCs/>
                  <w:lang w:val="en-US"/>
                </w:rPr>
                <w:t>ru</w:t>
              </w:r>
            </w:hyperlink>
          </w:p>
          <w:p w:rsidR="00534C47" w:rsidRPr="00534C47" w:rsidRDefault="00534C47" w:rsidP="00534C47">
            <w:pPr>
              <w:pStyle w:val="Default"/>
              <w:rPr>
                <w:bCs/>
              </w:rPr>
            </w:pPr>
            <w:r w:rsidRPr="00534C47">
              <w:rPr>
                <w:bCs/>
              </w:rPr>
              <w:t>Ответственное лицо Заказчика по техническим вопросам проведения Открытого запроса предложений:</w:t>
            </w:r>
          </w:p>
          <w:p w:rsidR="00534C47" w:rsidRPr="00534C47" w:rsidRDefault="00534C47" w:rsidP="00534C47">
            <w:pPr>
              <w:pStyle w:val="Default"/>
              <w:rPr>
                <w:bCs/>
                <w:iCs/>
              </w:rPr>
            </w:pPr>
            <w:r w:rsidRPr="00534C47">
              <w:rPr>
                <w:bCs/>
                <w:iCs/>
              </w:rPr>
              <w:t>Швидун Владимир Владимирович</w:t>
            </w:r>
          </w:p>
          <w:p w:rsidR="0014229A" w:rsidRPr="00AA1A78" w:rsidRDefault="00534C47" w:rsidP="00534C47">
            <w:pPr>
              <w:pStyle w:val="Default"/>
            </w:pPr>
            <w:r w:rsidRPr="00534C47">
              <w:rPr>
                <w:bCs/>
              </w:rPr>
              <w:t>тел</w:t>
            </w:r>
            <w:r w:rsidRPr="00AA1A78">
              <w:rPr>
                <w:bCs/>
              </w:rPr>
              <w:t xml:space="preserve">. + 7 (347)2215471 </w:t>
            </w:r>
            <w:r w:rsidRPr="00534C47">
              <w:rPr>
                <w:bCs/>
                <w:lang w:val="en-US"/>
              </w:rPr>
              <w:t>e</w:t>
            </w:r>
            <w:r w:rsidRPr="00AA1A78">
              <w:rPr>
                <w:bCs/>
              </w:rPr>
              <w:t>-</w:t>
            </w:r>
            <w:r w:rsidRPr="00534C47">
              <w:rPr>
                <w:bCs/>
                <w:lang w:val="en-US"/>
              </w:rPr>
              <w:t>mail</w:t>
            </w:r>
            <w:r w:rsidRPr="00AA1A78">
              <w:rPr>
                <w:bCs/>
              </w:rPr>
              <w:t xml:space="preserve">: </w:t>
            </w:r>
            <w:r w:rsidRPr="00534C47">
              <w:rPr>
                <w:bCs/>
                <w:lang w:val="en-US"/>
              </w:rPr>
              <w:t>v</w:t>
            </w:r>
            <w:r w:rsidRPr="00AA1A78">
              <w:rPr>
                <w:bCs/>
              </w:rPr>
              <w:t>.</w:t>
            </w:r>
            <w:r w:rsidRPr="00534C47">
              <w:rPr>
                <w:bCs/>
                <w:lang w:val="en-US"/>
              </w:rPr>
              <w:t>shvidun</w:t>
            </w:r>
            <w:r w:rsidRPr="00AA1A78">
              <w:rPr>
                <w:bCs/>
              </w:rPr>
              <w:t>@</w:t>
            </w:r>
            <w:r w:rsidRPr="00534C47">
              <w:rPr>
                <w:bCs/>
                <w:lang w:val="en-US"/>
              </w:rPr>
              <w:t>bashtel</w:t>
            </w:r>
            <w:r w:rsidRPr="00AA1A78">
              <w:rPr>
                <w:bCs/>
              </w:rPr>
              <w:t>.</w:t>
            </w:r>
            <w:r w:rsidRPr="00534C47">
              <w:rPr>
                <w:bCs/>
                <w:lang w:val="en-US"/>
              </w:rPr>
              <w:t>ru</w:t>
            </w:r>
            <w:r w:rsidR="003B25CB" w:rsidRPr="00AA1A78">
              <w:rPr>
                <w:bCs/>
              </w:rPr>
              <w:t xml:space="preserve"> </w:t>
            </w:r>
            <w:r w:rsidR="003B25CB" w:rsidRPr="00AA1A78">
              <w:rPr>
                <w:bCs/>
                <w:sz w:val="10"/>
                <w:szCs w:val="10"/>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A1A7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534C47" w:rsidP="000F4823">
            <w:r>
              <w:t>«23</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2C7651">
              <w:t>: «23» октября 2015 года в 16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534C47">
            <w:r>
              <w:t>«</w:t>
            </w:r>
            <w:r w:rsidR="00534C47">
              <w:t>13</w:t>
            </w:r>
            <w:r w:rsidR="000F4823" w:rsidRPr="000F4823">
              <w:t xml:space="preserve">» </w:t>
            </w:r>
            <w:r w:rsidR="00534C47">
              <w:t>ноября</w:t>
            </w:r>
            <w:r w:rsidR="000F4823" w:rsidRPr="000F4823">
              <w:t xml:space="preserve"> 2015 года в 10 часов 00 минут по времени сервера Системы электронных торгов, в соответствии с Регламентом пользования Системой электронных торгов.</w:t>
            </w:r>
            <w:bookmarkStart w:id="11" w:name="_GoBack"/>
            <w:bookmarkEnd w:id="11"/>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534C47" w:rsidP="00534C47">
            <w:pPr>
              <w:rPr>
                <w:highlight w:val="lightGray"/>
              </w:rPr>
            </w:pPr>
            <w:r>
              <w:rPr>
                <w:iCs/>
              </w:rPr>
              <w:t>«13</w:t>
            </w:r>
            <w:r w:rsidR="000F4823" w:rsidRPr="000F4823">
              <w:rPr>
                <w:iCs/>
              </w:rPr>
              <w:t xml:space="preserve">» </w:t>
            </w:r>
            <w:r>
              <w:rPr>
                <w:iCs/>
              </w:rPr>
              <w:t>ноября</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534C47">
              <w:t>: «16</w:t>
            </w:r>
            <w:r w:rsidRPr="000F4823">
              <w:t xml:space="preserve">» </w:t>
            </w:r>
            <w:r w:rsidR="00534C47">
              <w:t>ноября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534C47">
              <w:t>: «17</w:t>
            </w:r>
            <w:r w:rsidRPr="000F4823">
              <w:t xml:space="preserve">» </w:t>
            </w:r>
            <w:r w:rsidR="00534C47">
              <w:t>ноября 2015 года в 14</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34C47">
              <w:t>20</w:t>
            </w:r>
            <w:r w:rsidRPr="000F4823">
              <w:t xml:space="preserve">» </w:t>
            </w:r>
            <w:r w:rsidR="003B6396" w:rsidRPr="003B6396">
              <w:t>ноября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A1A78" w:rsidRPr="00AA1A78" w:rsidRDefault="00AA1A78" w:rsidP="00AA1A78">
            <w:r w:rsidRPr="00AA1A78">
              <w:rPr>
                <w:b/>
              </w:rPr>
              <w:t>Техническое диагностирование и ремонт грузоподъемных механизмов (ГПМ).</w:t>
            </w:r>
            <w:r w:rsidRPr="00AA1A78">
              <w:t xml:space="preserve"> </w:t>
            </w:r>
          </w:p>
          <w:p w:rsidR="0014229A" w:rsidRPr="00227C39" w:rsidRDefault="00AA1A78" w:rsidP="00AA1A78">
            <w:pPr>
              <w:pStyle w:val="Default"/>
              <w:jc w:val="both"/>
              <w:rPr>
                <w:iCs/>
              </w:rPr>
            </w:pPr>
            <w:r w:rsidRPr="00AA1A78">
              <w:rPr>
                <w:rFonts w:eastAsia="Times New Roman"/>
                <w:color w:val="auto"/>
                <w:lang w:eastAsia="ru-RU"/>
              </w:rPr>
              <w:t>Объем, состав, описание и иные технические требования к услугам и работам определяются Перечнем работ и услуг, условиями проекта договора (Приложения №№ 1,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39385A">
              <w:lastRenderedPageBreak/>
              <w:t>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534C47" w:rsidP="00534C47">
            <w:pPr>
              <w:jc w:val="both"/>
              <w:rPr>
                <w:lang w:bidi="ru-RU"/>
              </w:rPr>
            </w:pPr>
            <w:r w:rsidRPr="00534C47">
              <w:rPr>
                <w:lang w:bidi="ru-RU"/>
              </w:rPr>
              <w:lastRenderedPageBreak/>
              <w:t xml:space="preserve">Качество </w:t>
            </w:r>
            <w:r>
              <w:rPr>
                <w:lang w:bidi="ru-RU"/>
              </w:rPr>
              <w:t>оказываемых</w:t>
            </w:r>
            <w:r w:rsidRPr="00534C47">
              <w:rPr>
                <w:lang w:bidi="ru-RU"/>
              </w:rPr>
              <w:t xml:space="preserve"> услуг и ремонтных работ должно соответствовать ГОСТам и требованиям, обычно предъявляемым к такого рода работам, а запасные части, используемые при ремонте, должны удостоверяться сертификатами соответствия и качества и быть обеспечены гарантией завода-изготовителя.</w:t>
            </w:r>
          </w:p>
          <w:p w:rsidR="00534C47" w:rsidRDefault="00534C47" w:rsidP="00534C47">
            <w:pPr>
              <w:jc w:val="both"/>
            </w:pPr>
            <w:r>
              <w:t>Отдельно предоставляется гарантия:</w:t>
            </w:r>
          </w:p>
          <w:p w:rsidR="00534C47" w:rsidRDefault="00534C47" w:rsidP="00534C47">
            <w:pPr>
              <w:jc w:val="both"/>
            </w:pPr>
            <w:r>
              <w:t>-</w:t>
            </w:r>
            <w:r>
              <w:tab/>
              <w:t>в отношении всех проведенных работ – не менее 6 (шести) месяцев с момента приемки выполненных работ, подтвержденной соответствующим актом приемки, при условии соблюдения режима эксплуатации ГПМ;</w:t>
            </w:r>
          </w:p>
          <w:p w:rsidR="00534C47" w:rsidRPr="005C24A0" w:rsidRDefault="00534C47" w:rsidP="00534C47">
            <w:pPr>
              <w:jc w:val="both"/>
            </w:pPr>
            <w:r>
              <w:t>-</w:t>
            </w:r>
            <w:r>
              <w:tab/>
              <w:t>на установленные запчасти в соответствии со сроками завода-изготовителя.</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34C47" w:rsidRPr="00534C47" w:rsidRDefault="00534C47" w:rsidP="00534C47">
            <w:pPr>
              <w:autoSpaceDE w:val="0"/>
              <w:autoSpaceDN w:val="0"/>
              <w:adjustRightInd w:val="0"/>
              <w:jc w:val="both"/>
              <w:rPr>
                <w:rFonts w:eastAsia="Calibri"/>
                <w:iCs/>
                <w:color w:val="000000"/>
                <w:lang w:eastAsia="en-US"/>
              </w:rPr>
            </w:pPr>
            <w:r w:rsidRPr="00534C47">
              <w:rPr>
                <w:rFonts w:eastAsia="Calibri"/>
                <w:iCs/>
                <w:color w:val="000000"/>
                <w:lang w:eastAsia="en-US"/>
              </w:rPr>
              <w:t>Начальная (максимальная) цена является предельной общей ценой договора, на которую возможно заказать услуги/работы в течение срока его действия.</w:t>
            </w:r>
          </w:p>
          <w:p w:rsidR="00534C47" w:rsidRPr="00534C47" w:rsidRDefault="00534C47" w:rsidP="00534C47">
            <w:pPr>
              <w:jc w:val="both"/>
            </w:pPr>
            <w:r w:rsidRPr="00534C47">
              <w:t xml:space="preserve">Ориентировочная стоимость договора: </w:t>
            </w:r>
            <w:r w:rsidRPr="00534C47">
              <w:rPr>
                <w:b/>
              </w:rPr>
              <w:t>533 000,00 рублей без учета НДС.</w:t>
            </w:r>
          </w:p>
          <w:p w:rsidR="00534C47" w:rsidRPr="00534C47" w:rsidRDefault="00534C47" w:rsidP="00534C47">
            <w:pPr>
              <w:autoSpaceDE w:val="0"/>
              <w:autoSpaceDN w:val="0"/>
              <w:adjustRightInd w:val="0"/>
              <w:jc w:val="both"/>
              <w:rPr>
                <w:rFonts w:eastAsia="Calibri"/>
                <w:iCs/>
              </w:rPr>
            </w:pPr>
            <w:r w:rsidRPr="00534C47">
              <w:rPr>
                <w:rFonts w:eastAsia="Calibri"/>
                <w:iCs/>
              </w:rPr>
              <w:t>В случае, если участник</w:t>
            </w:r>
            <w:r w:rsidRPr="00534C47">
              <w:rPr>
                <w:rFonts w:eastAsia="Calibri"/>
                <w:b/>
                <w:iCs/>
              </w:rPr>
              <w:t xml:space="preserve"> </w:t>
            </w:r>
            <w:r w:rsidRPr="00534C47">
              <w:rPr>
                <w:rFonts w:eastAsia="Calibri"/>
                <w:iCs/>
              </w:rPr>
              <w:t>является плательщиком НДС, налог будет начислен сверх стоимости лота.</w:t>
            </w:r>
          </w:p>
          <w:p w:rsidR="00534C47" w:rsidRPr="00534C47" w:rsidRDefault="00534C47" w:rsidP="00534C47">
            <w:pPr>
              <w:autoSpaceDE w:val="0"/>
              <w:autoSpaceDN w:val="0"/>
              <w:adjustRightInd w:val="0"/>
              <w:jc w:val="both"/>
              <w:rPr>
                <w:iCs/>
              </w:rPr>
            </w:pPr>
            <w:r w:rsidRPr="00534C47">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534C47" w:rsidRPr="00534C47" w:rsidRDefault="00534C47" w:rsidP="00534C47">
            <w:pPr>
              <w:jc w:val="both"/>
              <w:rPr>
                <w:iCs/>
              </w:rPr>
            </w:pPr>
            <w:r w:rsidRPr="00534C47">
              <w:rPr>
                <w:iCs/>
              </w:rPr>
              <w:t>Начальная (максимальная) цена указана без учета коэффициента снижения, по данной предельной сумме Претенденты не направляют свои предложения.</w:t>
            </w:r>
          </w:p>
          <w:p w:rsidR="00534C47" w:rsidRPr="00534C47" w:rsidRDefault="00534C47" w:rsidP="00534C47">
            <w:pPr>
              <w:jc w:val="both"/>
              <w:rPr>
                <w:iCs/>
              </w:rPr>
            </w:pPr>
          </w:p>
          <w:p w:rsidR="00534C47" w:rsidRPr="00534C47" w:rsidRDefault="00534C47" w:rsidP="00534C47">
            <w:pPr>
              <w:jc w:val="both"/>
            </w:pPr>
            <w:r w:rsidRPr="00534C47">
              <w:t xml:space="preserve">Снижение цены за единицу услуги/работы определяется как произведение коэффициента снижения, предложенного Участником, на начальную (максимальную) цену за единицу услуги/работы, установленного Приложением №1 к Извещению.  </w:t>
            </w:r>
          </w:p>
          <w:p w:rsidR="0014229A" w:rsidRPr="00235AF8" w:rsidRDefault="00534C47" w:rsidP="00534C47">
            <w:pPr>
              <w:jc w:val="both"/>
            </w:pPr>
            <w:r w:rsidRPr="00534C47">
              <w:t>Коэффициент снижения не может быть больше или равен 1(единице).  Коэффициент снижения применяется единым ко всем позициям.</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w:t>
                  </w:r>
                  <w:r w:rsidR="0014229A" w:rsidRPr="00561F9A">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w:t>
                  </w:r>
                  <w:r w:rsidRPr="00D82466">
                    <w:rPr>
                      <w:rFonts w:cs="Arial"/>
                      <w:color w:val="000000"/>
                    </w:rPr>
                    <w:lastRenderedPageBreak/>
                    <w:t xml:space="preserve">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4229A" w:rsidRPr="00F84878" w:rsidTr="003B25CB">
              <w:tc>
                <w:tcPr>
                  <w:tcW w:w="3675" w:type="dxa"/>
                  <w:shd w:val="clear" w:color="auto" w:fill="auto"/>
                </w:tcPr>
                <w:p w:rsidR="0014229A" w:rsidRPr="00F84878" w:rsidRDefault="0014229A" w:rsidP="003B25CB">
                  <w:pPr>
                    <w:jc w:val="both"/>
                    <w:rPr>
                      <w:rFonts w:cs="Arial"/>
                      <w:b/>
                      <w:color w:val="000000"/>
                    </w:rPr>
                  </w:pPr>
                  <w:r>
                    <w:rPr>
                      <w:rFonts w:cs="Arial"/>
                      <w:b/>
                      <w:color w:val="000000"/>
                    </w:rPr>
                    <w:lastRenderedPageBreak/>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14229A" w:rsidRPr="00F84878" w:rsidRDefault="0014229A" w:rsidP="003B25CB">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3B25CB">
              <w:tc>
                <w:tcPr>
                  <w:tcW w:w="3675" w:type="dxa"/>
                  <w:shd w:val="clear" w:color="auto" w:fill="auto"/>
                </w:tcPr>
                <w:p w:rsidR="0014229A" w:rsidRPr="00AA1A78" w:rsidRDefault="000F4823" w:rsidP="00AA1A78">
                  <w:pPr>
                    <w:jc w:val="both"/>
                    <w:rPr>
                      <w:rFonts w:cs="Arial"/>
                      <w:b/>
                      <w:i/>
                      <w:color w:val="FF0000"/>
                    </w:rPr>
                  </w:pPr>
                  <w:r w:rsidRPr="00AA1A78">
                    <w:t>Наличие</w:t>
                  </w:r>
                  <w:r w:rsidR="00AA1A78">
                    <w:t xml:space="preserve"> у Участника закупки</w:t>
                  </w:r>
                  <w:r w:rsidR="008F2EB6" w:rsidRPr="00AA1A78">
                    <w:t xml:space="preserve"> </w:t>
                  </w:r>
                  <w:r w:rsidR="00AA1A78" w:rsidRPr="00AA1A78">
                    <w:t>лицензии на проведение экспертизы по промышленной безопасности</w:t>
                  </w:r>
                </w:p>
              </w:tc>
              <w:tc>
                <w:tcPr>
                  <w:tcW w:w="3676" w:type="dxa"/>
                  <w:shd w:val="clear" w:color="auto" w:fill="auto"/>
                </w:tcPr>
                <w:p w:rsidR="0014229A" w:rsidRPr="00AA1A78" w:rsidRDefault="00AA1A78" w:rsidP="003B25CB">
                  <w:pPr>
                    <w:jc w:val="both"/>
                    <w:rPr>
                      <w:rFonts w:cs="Arial"/>
                      <w:b/>
                      <w:color w:val="FF0000"/>
                    </w:rPr>
                  </w:pPr>
                  <w:r w:rsidRPr="00AA1A78">
                    <w:t>Копия лицензии на проведение экспертизы по промышленной безопасности</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C0D63" w:rsidP="00AC0D63">
                  <w:pPr>
                    <w:pStyle w:val="a4"/>
                    <w:ind w:left="0"/>
                    <w:rPr>
                      <w:rFonts w:cs="Arial"/>
                      <w:color w:val="000000"/>
                    </w:rPr>
                  </w:pPr>
                  <w:r w:rsidRPr="00AC0D63">
                    <w:t>Коэффициент снижения цены</w:t>
                  </w:r>
                  <w:r>
                    <w:t xml:space="preserve"> за единицу услуги/работы</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C0D63" w:rsidP="00AC0D63">
                  <w:pPr>
                    <w:pStyle w:val="a4"/>
                    <w:ind w:left="0"/>
                    <w:rPr>
                      <w:rFonts w:cs="Arial"/>
                      <w:color w:val="000000"/>
                    </w:rPr>
                  </w:pPr>
                  <w:r w:rsidRPr="00AC0D63">
                    <w:t xml:space="preserve">Оценивается коэффициент снижения цены, предложенной участником запроса предложений в его заявке на участие в запросе предложений, к начальной (максимальной) цене по </w:t>
                  </w:r>
                  <w:r>
                    <w:t>Приложению №1 к Извещению</w:t>
                  </w:r>
                </w:p>
              </w:tc>
            </w:tr>
            <w:tr w:rsidR="0014229A" w:rsidTr="00EC79E6">
              <w:trPr>
                <w:trHeight w:val="1375"/>
              </w:trPr>
              <w:tc>
                <w:tcPr>
                  <w:tcW w:w="2722" w:type="dxa"/>
                  <w:shd w:val="clear" w:color="auto" w:fill="auto"/>
                </w:tcPr>
                <w:p w:rsidR="0014229A" w:rsidRPr="00AA1A78" w:rsidRDefault="00AA1A78" w:rsidP="00A27D60">
                  <w:pPr>
                    <w:pStyle w:val="a4"/>
                    <w:ind w:left="0"/>
                  </w:pPr>
                  <w:r w:rsidRPr="00AA1A78">
                    <w:t>Срок выполнения ремонтных работ в течение 14 календарных дней с момента передачи ГПМ</w:t>
                  </w:r>
                </w:p>
                <w:p w:rsidR="00EC79E6" w:rsidRPr="00AA1A78" w:rsidRDefault="00EC79E6" w:rsidP="00A27D60">
                  <w:pPr>
                    <w:pStyle w:val="a4"/>
                    <w:ind w:left="0"/>
                    <w:rPr>
                      <w:rFonts w:cs="Arial"/>
                      <w:color w:val="000000"/>
                    </w:rPr>
                  </w:pPr>
                </w:p>
              </w:tc>
              <w:tc>
                <w:tcPr>
                  <w:tcW w:w="1417" w:type="dxa"/>
                  <w:shd w:val="clear" w:color="auto" w:fill="auto"/>
                </w:tcPr>
                <w:p w:rsidR="0014229A" w:rsidRPr="00AA1A78" w:rsidRDefault="00A27D60" w:rsidP="003B25CB">
                  <w:pPr>
                    <w:pStyle w:val="a4"/>
                    <w:ind w:left="0"/>
                    <w:rPr>
                      <w:rFonts w:cs="Arial"/>
                      <w:color w:val="000000"/>
                    </w:rPr>
                  </w:pPr>
                  <w:r w:rsidRPr="00AA1A78">
                    <w:rPr>
                      <w:rFonts w:cs="Arial"/>
                      <w:color w:val="000000"/>
                    </w:rPr>
                    <w:t>5</w:t>
                  </w:r>
                  <w:r w:rsidR="00F961B1" w:rsidRPr="00AA1A78">
                    <w:rPr>
                      <w:rFonts w:cs="Arial"/>
                      <w:color w:val="000000"/>
                    </w:rPr>
                    <w:t>%</w:t>
                  </w:r>
                </w:p>
              </w:tc>
              <w:tc>
                <w:tcPr>
                  <w:tcW w:w="3402" w:type="dxa"/>
                  <w:shd w:val="clear" w:color="auto" w:fill="auto"/>
                </w:tcPr>
                <w:p w:rsidR="0014229A" w:rsidRPr="00AA1A78" w:rsidRDefault="00A27D60" w:rsidP="00AA1A78">
                  <w:pPr>
                    <w:pStyle w:val="a4"/>
                    <w:ind w:left="0"/>
                    <w:rPr>
                      <w:rFonts w:cs="Arial"/>
                      <w:color w:val="000000"/>
                    </w:rPr>
                  </w:pPr>
                  <w:r w:rsidRPr="00AA1A78">
                    <w:rPr>
                      <w:rFonts w:cs="Arial"/>
                      <w:color w:val="000000"/>
                    </w:rPr>
                    <w:t xml:space="preserve">Оценивается срок </w:t>
                  </w:r>
                  <w:r w:rsidR="00AA1A78" w:rsidRPr="00AA1A78">
                    <w:rPr>
                      <w:rFonts w:cs="Arial"/>
                      <w:color w:val="000000"/>
                    </w:rPr>
                    <w:t xml:space="preserve">выполнения ремонтных работ, предложенный участником запроса предложений в его заявке на участие в запросе предложений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82E7D" w:rsidRPr="00AA1A78" w:rsidRDefault="00182E7D" w:rsidP="00182E7D">
            <w:pPr>
              <w:autoSpaceDE w:val="0"/>
              <w:autoSpaceDN w:val="0"/>
              <w:adjustRightInd w:val="0"/>
              <w:jc w:val="both"/>
              <w:rPr>
                <w:rFonts w:eastAsia="Calibri"/>
                <w:iCs/>
                <w:color w:val="000000"/>
                <w:lang w:eastAsia="en-US"/>
              </w:rPr>
            </w:pPr>
            <w:r w:rsidRPr="00AA1A78">
              <w:rPr>
                <w:rFonts w:eastAsia="Calibri"/>
                <w:iCs/>
                <w:color w:val="000000"/>
                <w:lang w:eastAsia="en-US"/>
              </w:rPr>
              <w:t>Место выполнения работ: Республика Башкортостан, г. Уфа, ремонтная база Исполнителя.</w:t>
            </w:r>
          </w:p>
          <w:p w:rsidR="00182E7D" w:rsidRPr="00AA1A78" w:rsidRDefault="00182E7D" w:rsidP="00182E7D">
            <w:pPr>
              <w:autoSpaceDE w:val="0"/>
              <w:autoSpaceDN w:val="0"/>
              <w:adjustRightInd w:val="0"/>
              <w:jc w:val="both"/>
              <w:rPr>
                <w:rFonts w:eastAsia="Calibri"/>
                <w:iCs/>
                <w:color w:val="000000"/>
                <w:lang w:eastAsia="en-US"/>
              </w:rPr>
            </w:pPr>
            <w:r w:rsidRPr="00AA1A78">
              <w:rPr>
                <w:rFonts w:eastAsia="Calibri"/>
                <w:iCs/>
                <w:color w:val="000000"/>
                <w:lang w:eastAsia="en-US"/>
              </w:rPr>
              <w:t>Условия выполнения работ определены в Приложении № 2 к настоящему Извещению.</w:t>
            </w:r>
          </w:p>
          <w:p w:rsidR="00AA1A78" w:rsidRPr="00AA1A78" w:rsidRDefault="00AA1A78" w:rsidP="00AA1A78">
            <w:pPr>
              <w:autoSpaceDE w:val="0"/>
              <w:autoSpaceDN w:val="0"/>
              <w:adjustRightInd w:val="0"/>
              <w:jc w:val="both"/>
              <w:rPr>
                <w:rFonts w:eastAsia="Calibri"/>
                <w:iCs/>
                <w:color w:val="000000"/>
                <w:lang w:eastAsia="en-US"/>
              </w:rPr>
            </w:pPr>
            <w:r w:rsidRPr="00AA1A78">
              <w:rPr>
                <w:rFonts w:eastAsia="Calibri"/>
                <w:iCs/>
                <w:color w:val="000000"/>
                <w:lang w:eastAsia="en-US"/>
              </w:rPr>
              <w:t xml:space="preserve">Срок оказания услуг по техническому диагностированию ГПМ определяется в соответствии с Графиком технического диагностирования, установленным проектом договора (Приложение №2 к настоящему Извещению). </w:t>
            </w:r>
          </w:p>
          <w:p w:rsidR="00AA1A78" w:rsidRPr="00AA1A78" w:rsidRDefault="00AA1A78" w:rsidP="00AA1A78">
            <w:pPr>
              <w:autoSpaceDE w:val="0"/>
              <w:autoSpaceDN w:val="0"/>
              <w:adjustRightInd w:val="0"/>
              <w:jc w:val="both"/>
              <w:rPr>
                <w:rFonts w:eastAsia="Calibri"/>
                <w:iCs/>
                <w:color w:val="000000"/>
                <w:lang w:eastAsia="en-US"/>
              </w:rPr>
            </w:pPr>
            <w:r w:rsidRPr="00AA1A78">
              <w:rPr>
                <w:rFonts w:eastAsia="Calibri"/>
                <w:iCs/>
                <w:color w:val="000000"/>
                <w:lang w:eastAsia="en-US"/>
              </w:rPr>
              <w:t>Сроки выполнения работ в отношении каждой единицы техники (ГПМ):</w:t>
            </w:r>
          </w:p>
          <w:p w:rsidR="00AA1A78" w:rsidRPr="00AA1A78" w:rsidRDefault="00AA1A78" w:rsidP="00AA1A78">
            <w:pPr>
              <w:autoSpaceDE w:val="0"/>
              <w:autoSpaceDN w:val="0"/>
              <w:adjustRightInd w:val="0"/>
              <w:jc w:val="both"/>
              <w:rPr>
                <w:rFonts w:eastAsia="Calibri"/>
                <w:iCs/>
                <w:color w:val="000000"/>
                <w:lang w:eastAsia="en-US"/>
              </w:rPr>
            </w:pPr>
            <w:r w:rsidRPr="00AA1A78">
              <w:rPr>
                <w:rFonts w:eastAsia="Calibri"/>
                <w:iCs/>
                <w:color w:val="000000"/>
                <w:lang w:eastAsia="en-US"/>
              </w:rPr>
              <w:t>-   начало - с момента подписания Сторонами акта приема-передачи ГПМ, подтверждающего передачу его Исполнителю;</w:t>
            </w:r>
          </w:p>
          <w:p w:rsidR="0014229A" w:rsidRPr="00F84878" w:rsidRDefault="00AA1A78" w:rsidP="00AA1A78">
            <w:pPr>
              <w:pStyle w:val="Default"/>
              <w:jc w:val="both"/>
            </w:pPr>
            <w:r w:rsidRPr="00AA1A78">
              <w:rPr>
                <w:iCs/>
              </w:rPr>
              <w:t>- окончание - не позднее 30 дней с момента передачи ГПМ.</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2C7651">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82E7D" w:rsidRDefault="00A667E3" w:rsidP="003B25CB">
            <w:pPr>
              <w:ind w:firstLine="387"/>
              <w:jc w:val="both"/>
            </w:pPr>
            <w:bookmarkStart w:id="31" w:name="_Toc313349954"/>
            <w:bookmarkStart w:id="32" w:name="_Toc313350150"/>
            <w:r>
              <w:t>а</w:t>
            </w:r>
            <w:r w:rsidR="0014229A">
              <w:t xml:space="preserve">) </w:t>
            </w:r>
            <w:r w:rsidR="00182E7D" w:rsidRPr="00182E7D">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14229A" w:rsidRPr="005C24A0" w:rsidRDefault="00182E7D"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182E7D"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182E7D"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182E7D"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182E7D"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182E7D"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182E7D"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2C7651">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по форме Приложения</w:t>
            </w:r>
            <w:r w:rsidR="00A02B2E" w:rsidRPr="00A02B2E">
              <w:t xml:space="preserve"> №1 к Изв</w:t>
            </w:r>
            <w:r w:rsidR="00A02B2E">
              <w:t>ещению</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2C7651">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2C7651">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2C7651">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Adobe PDF, </w:t>
            </w:r>
            <w:r w:rsidRPr="00385A5A">
              <w:lastRenderedPageBreak/>
              <w:t>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2C7651">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2C7651">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Документации документов либо наличия в таких документах </w:t>
            </w:r>
            <w:r>
              <w:lastRenderedPageBreak/>
              <w:t>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51D58" w:rsidRPr="00AA1A78" w:rsidRDefault="00B51D58" w:rsidP="00B51D58">
            <w:pPr>
              <w:ind w:firstLine="528"/>
              <w:jc w:val="both"/>
            </w:pPr>
            <w:r w:rsidRPr="00AA1A78">
              <w:t>Заказчик оплачивает услуги и ремонтные работы в следующем порядке:</w:t>
            </w:r>
          </w:p>
          <w:p w:rsidR="00B51D58" w:rsidRPr="00AA1A78" w:rsidRDefault="00B51D58" w:rsidP="00B51D58">
            <w:pPr>
              <w:ind w:firstLine="528"/>
              <w:jc w:val="both"/>
            </w:pPr>
            <w:r w:rsidRPr="00AA1A78">
              <w:t>- заказчик перечисляет исполнителю 50% (пятьдесят процентов) денежных средств, подлежащих оплате, на расчетный счет Исполнителя в течение в течение 30 (тридцати) календарных дн</w:t>
            </w:r>
            <w:r w:rsidR="00AA1A78" w:rsidRPr="00AA1A78">
              <w:t xml:space="preserve">ей после выполнения работ, </w:t>
            </w:r>
            <w:r w:rsidRPr="00AA1A78">
              <w:t>оказания услуг, подтвержденного актом приемки, на основании выставленного Исполнителем счета, счета-фактуры.</w:t>
            </w:r>
          </w:p>
          <w:p w:rsidR="0014229A" w:rsidRPr="005C24A0" w:rsidRDefault="00B51D58" w:rsidP="00B51D58">
            <w:pPr>
              <w:ind w:firstLine="528"/>
              <w:jc w:val="both"/>
            </w:pPr>
            <w:r w:rsidRPr="00AA1A78">
              <w:t xml:space="preserve">- оставшуюся часть - 50% (пятьдесят процентов) денежных средств, подлежащих оплате, заказчик перечисляет на расчетный счет Исполнителя в течение 20 календарных дней с момента получением </w:t>
            </w:r>
            <w:r w:rsidRPr="00AA1A78">
              <w:lastRenderedPageBreak/>
              <w:t>Заказчиком экспертизы промышленной безопасности утвержденного региональным управлением «Ростехнадзора».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AA1A78">
        <w:t>Перечень работ и услуг</w:t>
      </w:r>
      <w:r w:rsidR="005C6DCB" w:rsidRPr="00B21CC5">
        <w:t xml:space="preserve">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878" w:rsidRDefault="00381878" w:rsidP="0014229A">
      <w:r>
        <w:separator/>
      </w:r>
    </w:p>
  </w:endnote>
  <w:endnote w:type="continuationSeparator" w:id="0">
    <w:p w:rsidR="00381878" w:rsidRDefault="00381878"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878" w:rsidRDefault="00381878" w:rsidP="0014229A">
      <w:r>
        <w:separator/>
      </w:r>
    </w:p>
  </w:footnote>
  <w:footnote w:type="continuationSeparator" w:id="0">
    <w:p w:rsidR="00381878" w:rsidRDefault="00381878"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2C7651">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55701"/>
    <w:rsid w:val="00093E9C"/>
    <w:rsid w:val="000A4ECA"/>
    <w:rsid w:val="000D6510"/>
    <w:rsid w:val="000F4823"/>
    <w:rsid w:val="000F7BA5"/>
    <w:rsid w:val="0014229A"/>
    <w:rsid w:val="00155152"/>
    <w:rsid w:val="00182E7D"/>
    <w:rsid w:val="001B4383"/>
    <w:rsid w:val="001D7DA3"/>
    <w:rsid w:val="0026485E"/>
    <w:rsid w:val="002C7651"/>
    <w:rsid w:val="0032055F"/>
    <w:rsid w:val="003231AC"/>
    <w:rsid w:val="0033356E"/>
    <w:rsid w:val="00355EFE"/>
    <w:rsid w:val="00373528"/>
    <w:rsid w:val="00381878"/>
    <w:rsid w:val="00393AC3"/>
    <w:rsid w:val="003B25CB"/>
    <w:rsid w:val="003B6396"/>
    <w:rsid w:val="003C5771"/>
    <w:rsid w:val="003E3508"/>
    <w:rsid w:val="00401F71"/>
    <w:rsid w:val="00411612"/>
    <w:rsid w:val="0043434A"/>
    <w:rsid w:val="004C05AA"/>
    <w:rsid w:val="00534C47"/>
    <w:rsid w:val="005717E2"/>
    <w:rsid w:val="00574643"/>
    <w:rsid w:val="00580C36"/>
    <w:rsid w:val="00591BD4"/>
    <w:rsid w:val="005A0857"/>
    <w:rsid w:val="005B0AB9"/>
    <w:rsid w:val="005C6DCB"/>
    <w:rsid w:val="006351F8"/>
    <w:rsid w:val="00660B32"/>
    <w:rsid w:val="007816DF"/>
    <w:rsid w:val="007C17D3"/>
    <w:rsid w:val="007E34B5"/>
    <w:rsid w:val="008239AB"/>
    <w:rsid w:val="0083262D"/>
    <w:rsid w:val="00846365"/>
    <w:rsid w:val="00892DC0"/>
    <w:rsid w:val="008A40EB"/>
    <w:rsid w:val="008C6A98"/>
    <w:rsid w:val="008F2EB6"/>
    <w:rsid w:val="00945B7A"/>
    <w:rsid w:val="009A662F"/>
    <w:rsid w:val="009F777B"/>
    <w:rsid w:val="00A02B2E"/>
    <w:rsid w:val="00A27D60"/>
    <w:rsid w:val="00A362A1"/>
    <w:rsid w:val="00A667E3"/>
    <w:rsid w:val="00AA1A78"/>
    <w:rsid w:val="00AB0FBA"/>
    <w:rsid w:val="00AC0D63"/>
    <w:rsid w:val="00B21CC5"/>
    <w:rsid w:val="00B51D58"/>
    <w:rsid w:val="00BA27B3"/>
    <w:rsid w:val="00BB560C"/>
    <w:rsid w:val="00C327CC"/>
    <w:rsid w:val="00C675FE"/>
    <w:rsid w:val="00C77202"/>
    <w:rsid w:val="00CB6832"/>
    <w:rsid w:val="00D37E5A"/>
    <w:rsid w:val="00D4565D"/>
    <w:rsid w:val="00D94587"/>
    <w:rsid w:val="00E74D2C"/>
    <w:rsid w:val="00E9498C"/>
    <w:rsid w:val="00EA1830"/>
    <w:rsid w:val="00EB346C"/>
    <w:rsid w:val="00EB7AC6"/>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B907F-E616-45BC-8565-B2004999C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19</Pages>
  <Words>7539</Words>
  <Characters>42977</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21</cp:revision>
  <cp:lastPrinted>2015-10-23T12:10:00Z</cp:lastPrinted>
  <dcterms:created xsi:type="dcterms:W3CDTF">2015-10-07T04:10:00Z</dcterms:created>
  <dcterms:modified xsi:type="dcterms:W3CDTF">2015-10-23T12:10:00Z</dcterms:modified>
</cp:coreProperties>
</file>