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1E7822">
        <w:rPr>
          <w:rFonts w:ascii="Times New Roman" w:hAnsi="Times New Roman" w:cs="Times New Roman"/>
          <w:b/>
          <w:sz w:val="24"/>
          <w:szCs w:val="24"/>
        </w:rPr>
        <w:t xml:space="preserve">поставку оптических муфт и комплектующих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«Башинформсвязь»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241A1A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241A1A" w:rsidRDefault="00241A1A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Аминов Руслан Памирович</w:t>
            </w:r>
          </w:p>
          <w:p w:rsidR="00607E86" w:rsidRPr="000742CA" w:rsidRDefault="005C0160" w:rsidP="0024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742C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DC0B97" w:rsidRPr="000742C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57-</w:t>
            </w:r>
            <w:r w:rsidR="00241A1A" w:rsidRPr="000742C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DC0B97" w:rsidRPr="000742C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7,</w:t>
            </w:r>
            <w:r w:rsidRPr="000742C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742C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742C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074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241A1A" w:rsidRPr="00241A1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241A1A" w:rsidRPr="000742C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41A1A" w:rsidRPr="00241A1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aminov</w:t>
              </w:r>
              <w:r w:rsidR="00241A1A" w:rsidRPr="000742C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41A1A" w:rsidRPr="00241A1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241A1A" w:rsidRPr="000742C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41A1A" w:rsidRPr="00241A1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41A1A" w:rsidRPr="000742CA">
              <w:t xml:space="preserve"> </w:t>
            </w:r>
            <w:r w:rsidR="00DC0B97" w:rsidRPr="0007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1E7822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оптических муфт и комплектующих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количество необходимого товара, описание и иные технические требования к товару определяются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160" w:rsidRPr="002E65AF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определен в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1E782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5 645 925,80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1 016 266,64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6 662 192,44</w:t>
            </w:r>
            <w:r w:rsidR="001E7822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Шесть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ов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шестьсот шестьдесят две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тысячи 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сто девяносто два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я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44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0202E" w:rsidRDefault="00BF1CDE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</w:t>
            </w:r>
            <w:r w:rsidR="00412B66" w:rsidRPr="009A2F8D">
              <w:t xml:space="preserve">, </w:t>
            </w:r>
            <w:r w:rsidR="00412B66" w:rsidRPr="009A2F8D">
              <w:rPr>
                <w:color w:val="000000" w:themeColor="text1"/>
              </w:rPr>
              <w:t>предложенный участником</w:t>
            </w:r>
            <w:r w:rsidR="00412B66"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412B66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определяются </w:t>
            </w:r>
            <w:r w:rsidR="001E7822">
              <w:rPr>
                <w:iCs/>
              </w:rPr>
              <w:t>Спецификацией</w:t>
            </w:r>
            <w:r>
              <w:rPr>
                <w:iCs/>
              </w:rPr>
              <w:t xml:space="preserve"> (Приложение №</w:t>
            </w:r>
            <w:proofErr w:type="gramStart"/>
            <w:r w:rsidR="001E7822">
              <w:rPr>
                <w:iCs/>
              </w:rPr>
              <w:t xml:space="preserve">1 </w:t>
            </w:r>
            <w:r>
              <w:rPr>
                <w:iCs/>
              </w:rPr>
              <w:t xml:space="preserve"> к</w:t>
            </w:r>
            <w:proofErr w:type="gramEnd"/>
            <w:r>
              <w:rPr>
                <w:iCs/>
              </w:rPr>
              <w:t xml:space="preserve"> Документации о закупке) </w:t>
            </w:r>
            <w:r w:rsidR="001E7822">
              <w:rPr>
                <w:iCs/>
              </w:rPr>
              <w:t>.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 </w:t>
            </w:r>
            <w:r w:rsidRPr="00412B66">
              <w:rPr>
                <w:iCs/>
              </w:rPr>
              <w:t>указан</w:t>
            </w:r>
            <w:r w:rsidR="001E7822">
              <w:rPr>
                <w:iCs/>
              </w:rPr>
              <w:t>а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1E782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1E782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1E782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28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1E782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1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0742CA"/>
    <w:rsid w:val="000A47FA"/>
    <w:rsid w:val="00110097"/>
    <w:rsid w:val="0011595B"/>
    <w:rsid w:val="001162C9"/>
    <w:rsid w:val="00126191"/>
    <w:rsid w:val="001332A3"/>
    <w:rsid w:val="001A37C5"/>
    <w:rsid w:val="001A3D9B"/>
    <w:rsid w:val="001C3EEC"/>
    <w:rsid w:val="001E7822"/>
    <w:rsid w:val="0021443F"/>
    <w:rsid w:val="00241A1A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B3C2C"/>
    <w:rsid w:val="007059A7"/>
    <w:rsid w:val="0070748B"/>
    <w:rsid w:val="00747742"/>
    <w:rsid w:val="00777794"/>
    <w:rsid w:val="00787936"/>
    <w:rsid w:val="007A2FD6"/>
    <w:rsid w:val="007A404F"/>
    <w:rsid w:val="007B4679"/>
    <w:rsid w:val="00820069"/>
    <w:rsid w:val="008364AF"/>
    <w:rsid w:val="00895141"/>
    <w:rsid w:val="008A08B1"/>
    <w:rsid w:val="008D10F8"/>
    <w:rsid w:val="009174A6"/>
    <w:rsid w:val="0092335F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82B6D"/>
    <w:rsid w:val="00DB60D7"/>
    <w:rsid w:val="00DC0B97"/>
    <w:rsid w:val="00DE5967"/>
    <w:rsid w:val="00E3611D"/>
    <w:rsid w:val="00E43FEA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ED0C2A9-6FD4-4F2E-A4D4-7E86003A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r.aminov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B61D1-BD04-410E-B6E6-BBED36421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23</cp:revision>
  <cp:lastPrinted>2016-04-13T11:53:00Z</cp:lastPrinted>
  <dcterms:created xsi:type="dcterms:W3CDTF">2015-10-13T08:33:00Z</dcterms:created>
  <dcterms:modified xsi:type="dcterms:W3CDTF">2016-04-13T11:58:00Z</dcterms:modified>
</cp:coreProperties>
</file>