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B2803">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B2803">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B2803">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D828D8"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A2905"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D250AB"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D250AB">
              <w:rPr>
                <w:rFonts w:eastAsia="Calibri"/>
                <w:bCs/>
                <w:color w:val="000000"/>
                <w:lang w:eastAsia="en-US"/>
              </w:rPr>
              <w:t>. + 7 (347)</w:t>
            </w:r>
            <w:r w:rsidR="00885C0B" w:rsidRPr="00D250AB">
              <w:rPr>
                <w:rFonts w:eastAsia="Calibri"/>
                <w:bCs/>
                <w:color w:val="000000"/>
                <w:lang w:eastAsia="en-US"/>
              </w:rPr>
              <w:t xml:space="preserve"> </w:t>
            </w:r>
            <w:r w:rsidRPr="00D250AB">
              <w:rPr>
                <w:rFonts w:eastAsia="Calibri"/>
                <w:bCs/>
                <w:color w:val="000000"/>
                <w:lang w:eastAsia="en-US"/>
              </w:rPr>
              <w:t>276</w:t>
            </w:r>
            <w:r w:rsidR="00885C0B" w:rsidRPr="00D250AB">
              <w:rPr>
                <w:rFonts w:eastAsia="Calibri"/>
                <w:bCs/>
                <w:color w:val="000000"/>
                <w:lang w:eastAsia="en-US"/>
              </w:rPr>
              <w:t>-</w:t>
            </w:r>
            <w:r w:rsidRPr="00D250AB">
              <w:rPr>
                <w:rFonts w:eastAsia="Calibri"/>
                <w:bCs/>
                <w:color w:val="000000"/>
                <w:lang w:eastAsia="en-US"/>
              </w:rPr>
              <w:t>72</w:t>
            </w:r>
            <w:r w:rsidR="00885C0B" w:rsidRPr="00D250AB">
              <w:rPr>
                <w:rFonts w:eastAsia="Calibri"/>
                <w:bCs/>
                <w:color w:val="000000"/>
                <w:lang w:eastAsia="en-US"/>
              </w:rPr>
              <w:t>-</w:t>
            </w:r>
            <w:r w:rsidRPr="00D250AB">
              <w:rPr>
                <w:rFonts w:eastAsia="Calibri"/>
                <w:bCs/>
                <w:color w:val="000000"/>
                <w:lang w:eastAsia="en-US"/>
              </w:rPr>
              <w:t xml:space="preserve">36, </w:t>
            </w:r>
            <w:r w:rsidRPr="00022F58">
              <w:rPr>
                <w:rFonts w:eastAsia="Calibri"/>
                <w:bCs/>
                <w:color w:val="000000"/>
                <w:lang w:val="en-US" w:eastAsia="en-US"/>
              </w:rPr>
              <w:t>e</w:t>
            </w:r>
            <w:r w:rsidRPr="00D250AB">
              <w:rPr>
                <w:rFonts w:eastAsia="Calibri"/>
                <w:bCs/>
                <w:color w:val="000000"/>
                <w:lang w:eastAsia="en-US"/>
              </w:rPr>
              <w:t>-</w:t>
            </w:r>
            <w:r w:rsidRPr="00022F58">
              <w:rPr>
                <w:rFonts w:eastAsia="Calibri"/>
                <w:bCs/>
                <w:color w:val="000000"/>
                <w:lang w:val="en-US" w:eastAsia="en-US"/>
              </w:rPr>
              <w:t>mail</w:t>
            </w:r>
            <w:r w:rsidRPr="00D250AB">
              <w:rPr>
                <w:rFonts w:eastAsia="Calibri"/>
                <w:bCs/>
                <w:color w:val="000000"/>
                <w:lang w:eastAsia="en-US"/>
              </w:rPr>
              <w:t>:</w:t>
            </w:r>
            <w:r w:rsidRPr="00D250AB">
              <w:rPr>
                <w:color w:val="777777"/>
              </w:rPr>
              <w:t xml:space="preserve"> </w:t>
            </w:r>
            <w:hyperlink r:id="rId19" w:history="1">
              <w:r w:rsidRPr="00022F58">
                <w:rPr>
                  <w:rFonts w:eastAsia="Calibri"/>
                  <w:bCs/>
                  <w:color w:val="0000FF"/>
                  <w:u w:val="single"/>
                  <w:lang w:val="en-US" w:eastAsia="en-US"/>
                </w:rPr>
                <w:t>e</w:t>
              </w:r>
              <w:r w:rsidRPr="00D250AB">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D250AB">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D250AB">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D250AB"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A2905" w:rsidRPr="00FA2905" w:rsidRDefault="00FA2905" w:rsidP="00FA2905">
            <w:pPr>
              <w:autoSpaceDE w:val="0"/>
              <w:autoSpaceDN w:val="0"/>
              <w:adjustRightInd w:val="0"/>
              <w:rPr>
                <w:rFonts w:eastAsia="Calibri"/>
                <w:iCs/>
                <w:color w:val="000000"/>
              </w:rPr>
            </w:pPr>
            <w:r w:rsidRPr="00FA2905">
              <w:rPr>
                <w:rFonts w:eastAsia="Calibri"/>
                <w:iCs/>
                <w:color w:val="000000"/>
              </w:rPr>
              <w:t>Фаттахов Фанис Винерович</w:t>
            </w:r>
          </w:p>
          <w:p w:rsidR="0014229A" w:rsidRPr="00FA2905" w:rsidRDefault="00FA2905" w:rsidP="00FA2905">
            <w:pPr>
              <w:pStyle w:val="Default"/>
            </w:pPr>
            <w:r w:rsidRPr="00FA2905">
              <w:rPr>
                <w:iCs/>
              </w:rPr>
              <w:t xml:space="preserve">тел. + 7 (347) 221-57-19, </w:t>
            </w:r>
            <w:r w:rsidRPr="00FA2905">
              <w:rPr>
                <w:iCs/>
                <w:lang w:val="en-US"/>
              </w:rPr>
              <w:t>e</w:t>
            </w:r>
            <w:r w:rsidRPr="00FA2905">
              <w:rPr>
                <w:iCs/>
              </w:rPr>
              <w:t>-</w:t>
            </w:r>
            <w:r w:rsidRPr="00FA2905">
              <w:rPr>
                <w:iCs/>
                <w:lang w:val="en-US"/>
              </w:rPr>
              <w:t>mail</w:t>
            </w:r>
            <w:r w:rsidRPr="00FA2905">
              <w:rPr>
                <w:iCs/>
              </w:rPr>
              <w:t xml:space="preserve">: </w:t>
            </w:r>
            <w:hyperlink r:id="rId20" w:history="1">
              <w:r w:rsidRPr="00280893">
                <w:rPr>
                  <w:rStyle w:val="a3"/>
                  <w:iCs/>
                  <w:lang w:val="en-US"/>
                </w:rPr>
                <w:t>f</w:t>
              </w:r>
              <w:r w:rsidRPr="00FA2905">
                <w:rPr>
                  <w:rStyle w:val="a3"/>
                  <w:iCs/>
                </w:rPr>
                <w:t>.</w:t>
              </w:r>
              <w:r w:rsidRPr="00280893">
                <w:rPr>
                  <w:rStyle w:val="a3"/>
                  <w:iCs/>
                  <w:lang w:val="en-US"/>
                </w:rPr>
                <w:t>fattahov</w:t>
              </w:r>
              <w:r w:rsidRPr="00FA2905">
                <w:rPr>
                  <w:rStyle w:val="a3"/>
                  <w:iCs/>
                </w:rPr>
                <w:t>@</w:t>
              </w:r>
              <w:r w:rsidRPr="00280893">
                <w:rPr>
                  <w:rStyle w:val="a3"/>
                  <w:iCs/>
                  <w:lang w:val="en-US"/>
                </w:rPr>
                <w:t>bashtel</w:t>
              </w:r>
              <w:r w:rsidRPr="00FA2905">
                <w:rPr>
                  <w:rStyle w:val="a3"/>
                  <w:iCs/>
                </w:rPr>
                <w:t>.</w:t>
              </w:r>
              <w:proofErr w:type="spellStart"/>
              <w:r w:rsidRPr="00280893">
                <w:rPr>
                  <w:rStyle w:val="a3"/>
                  <w:iCs/>
                  <w:lang w:val="en-US"/>
                </w:rPr>
                <w:t>ru</w:t>
              </w:r>
              <w:proofErr w:type="spellEnd"/>
            </w:hyperlink>
            <w:r>
              <w:rPr>
                <w:iCs/>
              </w:rPr>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A290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A2905">
            <w:r>
              <w:t>«</w:t>
            </w:r>
            <w:r w:rsidR="00204557">
              <w:t>1</w:t>
            </w:r>
            <w:r w:rsidR="00FA2905">
              <w:t>6</w:t>
            </w:r>
            <w:r w:rsidR="0014229A" w:rsidRPr="005C24A0">
              <w:t>»</w:t>
            </w:r>
            <w:r>
              <w:rPr>
                <w:lang w:val="en-US"/>
              </w:rPr>
              <w:t xml:space="preserve"> </w:t>
            </w:r>
            <w:r w:rsidR="00FA2905">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105122, г.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204557">
              <w:rPr>
                <w:iCs/>
              </w:rPr>
              <w:t>1</w:t>
            </w:r>
            <w:r w:rsidR="00897A73">
              <w:rPr>
                <w:iCs/>
              </w:rPr>
              <w:t>6</w:t>
            </w:r>
            <w:r w:rsidRPr="00022F58">
              <w:rPr>
                <w:iCs/>
              </w:rPr>
              <w:t xml:space="preserve">» </w:t>
            </w:r>
            <w:r w:rsidR="00897A73">
              <w:rPr>
                <w:iCs/>
              </w:rPr>
              <w:t>дека</w:t>
            </w:r>
            <w:r w:rsidRPr="00022F58">
              <w:rPr>
                <w:iCs/>
              </w:rPr>
              <w:t>бря 2015 г. в 1</w:t>
            </w:r>
            <w:r w:rsidR="000A2078">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897A73">
            <w:r w:rsidRPr="00022F58">
              <w:rPr>
                <w:iCs/>
              </w:rPr>
              <w:t>«</w:t>
            </w:r>
            <w:r w:rsidR="00733EEC">
              <w:rPr>
                <w:iCs/>
              </w:rPr>
              <w:t>2</w:t>
            </w:r>
            <w:r w:rsidR="00897A73">
              <w:rPr>
                <w:iCs/>
              </w:rPr>
              <w:t>4</w:t>
            </w:r>
            <w:r w:rsidRPr="00022F58">
              <w:rPr>
                <w:iCs/>
              </w:rPr>
              <w:t xml:space="preserve">» </w:t>
            </w:r>
            <w:r w:rsidR="00897A73">
              <w:rPr>
                <w:iCs/>
              </w:rPr>
              <w:t>дека</w:t>
            </w:r>
            <w:r>
              <w:rPr>
                <w:iCs/>
              </w:rPr>
              <w:t>бря</w:t>
            </w:r>
            <w:r w:rsidRPr="00022F58">
              <w:rPr>
                <w:iCs/>
              </w:rPr>
              <w:t xml:space="preserve"> 2015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w:t>
            </w:r>
            <w:r w:rsidRPr="00022F58">
              <w:rPr>
                <w:iCs/>
              </w:rPr>
              <w:lastRenderedPageBreak/>
              <w:t>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897A73">
            <w:pPr>
              <w:rPr>
                <w:highlight w:val="lightGray"/>
              </w:rPr>
            </w:pPr>
            <w:r w:rsidRPr="00022F58">
              <w:rPr>
                <w:iCs/>
              </w:rPr>
              <w:t>«</w:t>
            </w:r>
            <w:r w:rsidR="00897A73">
              <w:rPr>
                <w:iCs/>
              </w:rPr>
              <w:t>24</w:t>
            </w:r>
            <w:r w:rsidRPr="00022F58">
              <w:rPr>
                <w:iCs/>
              </w:rPr>
              <w:t xml:space="preserve">» </w:t>
            </w:r>
            <w:r w:rsidR="00897A73">
              <w:rPr>
                <w:iCs/>
              </w:rPr>
              <w:t>дека</w:t>
            </w:r>
            <w:r w:rsidRPr="00022F58">
              <w:rPr>
                <w:iCs/>
              </w:rPr>
              <w:t>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897A73">
              <w:t>25</w:t>
            </w:r>
            <w:r w:rsidRPr="00022F58">
              <w:t xml:space="preserve">» </w:t>
            </w:r>
            <w:r w:rsidR="00897A73">
              <w:t>дека</w:t>
            </w:r>
            <w:r>
              <w:t>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897A73">
              <w:t>25</w:t>
            </w:r>
            <w:r w:rsidRPr="00022F58">
              <w:t xml:space="preserve">» </w:t>
            </w:r>
            <w:r w:rsidR="00897A73">
              <w:t>дека</w:t>
            </w:r>
            <w:r w:rsidRPr="00022F58">
              <w:t xml:space="preserve">бря 2015 года </w:t>
            </w:r>
          </w:p>
          <w:p w:rsidR="00022F58" w:rsidRPr="00022F58" w:rsidRDefault="00022F58" w:rsidP="00022F58">
            <w:r w:rsidRPr="00022F58">
              <w:t>в 1</w:t>
            </w:r>
            <w:r w:rsidR="00D250AB">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897A73">
              <w:t>31</w:t>
            </w:r>
            <w:r w:rsidRPr="00022F58">
              <w:t xml:space="preserve">» </w:t>
            </w:r>
            <w:r w:rsidR="00204557">
              <w:t>дека</w:t>
            </w:r>
            <w:r w:rsidRPr="00022F58">
              <w:t xml:space="preserve">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6A6C" w:rsidRPr="005E1D33" w:rsidRDefault="006A6A6C" w:rsidP="006A6A6C">
            <w:pPr>
              <w:autoSpaceDE w:val="0"/>
              <w:autoSpaceDN w:val="0"/>
              <w:adjustRightInd w:val="0"/>
              <w:jc w:val="both"/>
              <w:rPr>
                <w:rFonts w:eastAsia="Calibri"/>
                <w:b/>
                <w:iCs/>
                <w:color w:val="000000"/>
              </w:rPr>
            </w:pPr>
            <w:r>
              <w:rPr>
                <w:b/>
              </w:rPr>
              <w:t>Поставка запасных частей для автомашин КАМАЗ, МАЗ, ЗИЛ, МТЗ, УРАЛ.</w:t>
            </w:r>
          </w:p>
          <w:p w:rsidR="0014229A" w:rsidRPr="00227C39" w:rsidRDefault="006A6A6C" w:rsidP="006A6A6C">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 xml:space="preserve">Техническим заданием </w:t>
            </w:r>
            <w:r w:rsidRPr="00E61607">
              <w:rPr>
                <w:rFonts w:eastAsia="Times New Roman"/>
                <w:lang w:eastAsia="ru-RU"/>
              </w:rPr>
              <w:t>(Приложение №</w:t>
            </w:r>
            <w:r>
              <w:rPr>
                <w:rFonts w:eastAsia="Times New Roman"/>
                <w:lang w:eastAsia="ru-RU"/>
              </w:rPr>
              <w:t xml:space="preserve"> 1.1 </w:t>
            </w:r>
            <w:r w:rsidRPr="00E61607">
              <w:rPr>
                <w:rFonts w:eastAsia="Times New Roman"/>
                <w:lang w:eastAsia="ru-RU"/>
              </w:rPr>
              <w:t>к Извещению)</w:t>
            </w:r>
            <w:r>
              <w:rPr>
                <w:rFonts w:eastAsia="Times New Roman"/>
                <w:lang w:eastAsia="ru-RU"/>
              </w:rPr>
              <w:t>,</w:t>
            </w:r>
            <w:r w:rsidRPr="00E61607">
              <w:rPr>
                <w:rFonts w:eastAsia="Times New Roman"/>
                <w:lang w:eastAsia="ru-RU"/>
              </w:rPr>
              <w:t xml:space="preserve"> Спецификаци</w:t>
            </w:r>
            <w:r>
              <w:rPr>
                <w:rFonts w:eastAsia="Times New Roman"/>
                <w:lang w:eastAsia="ru-RU"/>
              </w:rPr>
              <w:t xml:space="preserve">ями </w:t>
            </w:r>
            <w:r w:rsidRPr="00E61607">
              <w:rPr>
                <w:rFonts w:eastAsia="Times New Roman"/>
                <w:lang w:eastAsia="ru-RU"/>
              </w:rPr>
              <w:t>(Приложени</w:t>
            </w:r>
            <w:r>
              <w:rPr>
                <w:rFonts w:eastAsia="Times New Roman"/>
                <w:lang w:eastAsia="ru-RU"/>
              </w:rPr>
              <w:t>я</w:t>
            </w:r>
            <w:r w:rsidRPr="00E61607">
              <w:rPr>
                <w:rFonts w:eastAsia="Times New Roman"/>
                <w:lang w:eastAsia="ru-RU"/>
              </w:rPr>
              <w:t xml:space="preserve"> </w:t>
            </w:r>
            <w:r>
              <w:rPr>
                <w:rFonts w:eastAsia="Times New Roman"/>
                <w:lang w:eastAsia="ru-RU"/>
              </w:rPr>
              <w:t>№</w:t>
            </w:r>
            <w:r w:rsidRPr="00E61607">
              <w:rPr>
                <w:rFonts w:eastAsia="Times New Roman"/>
                <w:lang w:eastAsia="ru-RU"/>
              </w:rPr>
              <w:t>№</w:t>
            </w:r>
            <w:r>
              <w:rPr>
                <w:rFonts w:eastAsia="Times New Roman"/>
                <w:lang w:eastAsia="ru-RU"/>
              </w:rPr>
              <w:t xml:space="preserve"> 1.2, 1.3, 1.4, 1.5, 1.6 </w:t>
            </w:r>
            <w:r w:rsidRPr="00E61607">
              <w:rPr>
                <w:rFonts w:eastAsia="Times New Roman"/>
                <w:lang w:eastAsia="ru-RU"/>
              </w:rPr>
              <w:t xml:space="preserve">к Извещению) и </w:t>
            </w:r>
            <w:r>
              <w:rPr>
                <w:rFonts w:eastAsia="Times New Roman"/>
                <w:iCs/>
                <w:lang w:eastAsia="ru-RU"/>
              </w:rPr>
              <w:t>проектом договора (Приложение № 2 к Извещению)</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6A6A6C" w:rsidP="006A6A6C">
            <w:pPr>
              <w:jc w:val="both"/>
              <w:rPr>
                <w:iCs/>
              </w:rPr>
            </w:pPr>
            <w:r>
              <w:lastRenderedPageBreak/>
              <w:t>О</w:t>
            </w:r>
            <w:r w:rsidRPr="00E61607">
              <w:t xml:space="preserve">пределяются </w:t>
            </w:r>
            <w:r>
              <w:t xml:space="preserve">Техническим заданием </w:t>
            </w:r>
            <w:r w:rsidRPr="00E61607">
              <w:t>(Приложение №</w:t>
            </w:r>
            <w:r>
              <w:t xml:space="preserve"> 1.1 </w:t>
            </w:r>
            <w:r w:rsidRPr="00E61607">
              <w:t xml:space="preserve">к Извещению) и </w:t>
            </w:r>
            <w:r>
              <w:rPr>
                <w:iCs/>
              </w:rPr>
              <w:t>проектом договора (Приложение № 2 к Извещению).</w:t>
            </w:r>
          </w:p>
          <w:p w:rsidR="006A6A6C" w:rsidRPr="005C24A0" w:rsidRDefault="006A6A6C" w:rsidP="006A6A6C">
            <w:pPr>
              <w:jc w:val="both"/>
            </w:pPr>
            <w:r w:rsidRPr="00DF035E">
              <w:t>Товар должен соответствовать ГОСТам, ТУ, принятым для данного вида товаров с подтверждением соответствующими сертификатами и должен быть приобретен у официальных дистрибьюторов</w:t>
            </w:r>
            <w:r>
              <w:t>,</w:t>
            </w:r>
            <w:r w:rsidRPr="00DF035E">
              <w:t xml:space="preserve"> производителей товара и обеспечен копиями всех необходимых сертификатов.</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F31399" w:rsidRPr="000F5CA5" w:rsidRDefault="00F31399" w:rsidP="00F31399">
            <w:pPr>
              <w:autoSpaceDE w:val="0"/>
              <w:autoSpaceDN w:val="0"/>
              <w:adjustRightInd w:val="0"/>
              <w:jc w:val="both"/>
              <w:rPr>
                <w:rFonts w:eastAsia="Calibri"/>
                <w:iCs/>
              </w:rPr>
            </w:pPr>
            <w:r w:rsidRPr="000F5CA5">
              <w:rPr>
                <w:rFonts w:eastAsia="Calibri"/>
                <w:iCs/>
              </w:rPr>
              <w:t xml:space="preserve">Цена договора является предельной общей ценой Лота, на которую возможно заказать товары (работы, услуги) в течение срока его действия и составляет: </w:t>
            </w:r>
          </w:p>
          <w:p w:rsidR="00F31399" w:rsidRPr="000F5CA5" w:rsidRDefault="00F31399" w:rsidP="00F31399">
            <w:pPr>
              <w:autoSpaceDE w:val="0"/>
              <w:autoSpaceDN w:val="0"/>
              <w:adjustRightInd w:val="0"/>
              <w:jc w:val="both"/>
              <w:rPr>
                <w:rFonts w:eastAsia="Calibri"/>
                <w:iCs/>
              </w:rPr>
            </w:pPr>
            <w:r w:rsidRPr="000F5CA5">
              <w:rPr>
                <w:rFonts w:eastAsia="Calibri"/>
                <w:iCs/>
              </w:rPr>
              <w:t xml:space="preserve">3 000 000,00 (Три миллиона) рублей без НДС, кроме того сумма НДС (18%) 540 000,00 рублей. </w:t>
            </w:r>
          </w:p>
          <w:p w:rsidR="00F31399" w:rsidRPr="000F5CA5" w:rsidRDefault="00F31399" w:rsidP="00F31399">
            <w:pPr>
              <w:autoSpaceDE w:val="0"/>
              <w:autoSpaceDN w:val="0"/>
              <w:adjustRightInd w:val="0"/>
              <w:jc w:val="both"/>
              <w:rPr>
                <w:rFonts w:eastAsia="Calibri"/>
                <w:iCs/>
              </w:rPr>
            </w:pPr>
            <w:r w:rsidRPr="000F5CA5">
              <w:rPr>
                <w:rFonts w:eastAsia="Calibri"/>
                <w:iCs/>
              </w:rPr>
              <w:t>Сумма с НДС составляет 3 540 000,00 (Три миллиона пятьсот сорок тысяч)  рублей.</w:t>
            </w:r>
          </w:p>
          <w:p w:rsidR="00F31399" w:rsidRPr="000F5CA5" w:rsidRDefault="00F31399" w:rsidP="00F31399">
            <w:pPr>
              <w:autoSpaceDE w:val="0"/>
              <w:autoSpaceDN w:val="0"/>
              <w:adjustRightInd w:val="0"/>
              <w:jc w:val="both"/>
              <w:rPr>
                <w:rFonts w:eastAsia="Calibri"/>
                <w:iCs/>
              </w:rPr>
            </w:pPr>
          </w:p>
          <w:p w:rsidR="00F31399" w:rsidRPr="000F5CA5" w:rsidRDefault="00F31399" w:rsidP="00F31399">
            <w:pPr>
              <w:autoSpaceDE w:val="0"/>
              <w:autoSpaceDN w:val="0"/>
              <w:adjustRightInd w:val="0"/>
              <w:jc w:val="both"/>
              <w:rPr>
                <w:rFonts w:eastAsia="Calibri"/>
                <w:iCs/>
              </w:rPr>
            </w:pPr>
            <w:r w:rsidRPr="000F5CA5">
              <w:rPr>
                <w:rFonts w:eastAsia="Calibri"/>
                <w:iCs/>
              </w:rPr>
              <w:t xml:space="preserve">Установление такой цены не налагает на ПАО «Башинформсвязь» обязательств по заказу товаров, работ, услуг в объёме, соответствующем данной сумме. </w:t>
            </w:r>
          </w:p>
          <w:p w:rsidR="00F31399" w:rsidRPr="000F5CA5" w:rsidRDefault="00F31399" w:rsidP="00F31399">
            <w:pPr>
              <w:autoSpaceDE w:val="0"/>
              <w:autoSpaceDN w:val="0"/>
              <w:adjustRightInd w:val="0"/>
              <w:jc w:val="both"/>
              <w:rPr>
                <w:rFonts w:eastAsia="Calibri"/>
                <w:iCs/>
              </w:rPr>
            </w:pPr>
            <w:r w:rsidRPr="000F5CA5">
              <w:rPr>
                <w:rFonts w:eastAsia="Calibri"/>
                <w:iCs/>
              </w:rPr>
              <w:t>Начальная (максимальная) цена за единицу товара  (Приложения №№ 1.2, 1.3, 1.4, 1.5, 1.6 к Извещению) указана без учета коэффициента снижения.</w:t>
            </w:r>
          </w:p>
          <w:p w:rsidR="00F31399" w:rsidRPr="000F5CA5" w:rsidRDefault="00F31399" w:rsidP="00F31399">
            <w:pPr>
              <w:autoSpaceDE w:val="0"/>
              <w:autoSpaceDN w:val="0"/>
              <w:adjustRightInd w:val="0"/>
              <w:jc w:val="both"/>
              <w:rPr>
                <w:rFonts w:eastAsia="Calibri"/>
                <w:iCs/>
              </w:rPr>
            </w:pPr>
            <w:proofErr w:type="gramStart"/>
            <w:r w:rsidRPr="000F5CA5">
              <w:rPr>
                <w:rFonts w:eastAsia="Calibri"/>
                <w:iCs/>
              </w:rPr>
              <w:t>В случае если поставка товара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607E86" w:rsidRDefault="00F31399" w:rsidP="00F31399">
            <w:pPr>
              <w:tabs>
                <w:tab w:val="left" w:pos="851"/>
              </w:tabs>
              <w:jc w:val="both"/>
              <w:rPr>
                <w:rFonts w:eastAsia="Calibri"/>
                <w:b/>
                <w:i/>
                <w:iCs/>
                <w:color w:val="FF0000"/>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цену единицы товара (работы, услуги) без НДС</w:t>
            </w:r>
            <w:r>
              <w:rPr>
                <w:rFonts w:eastAsia="Calibri"/>
                <w:iCs/>
              </w:rPr>
              <w:t xml:space="preserve"> по </w:t>
            </w:r>
            <w:r w:rsidRPr="000F5CA5">
              <w:rPr>
                <w:rFonts w:eastAsia="Calibri"/>
                <w:iCs/>
              </w:rPr>
              <w:t>Приложения</w:t>
            </w:r>
            <w:r>
              <w:rPr>
                <w:rFonts w:eastAsia="Calibri"/>
                <w:iCs/>
              </w:rPr>
              <w:t>м</w:t>
            </w:r>
            <w:r w:rsidRPr="000F5CA5">
              <w:rPr>
                <w:rFonts w:eastAsia="Calibri"/>
                <w:iCs/>
              </w:rPr>
              <w:t xml:space="preserve"> №№ 1.2, 1.3, 1.4, 1.5, 1.6 к Извещению</w:t>
            </w:r>
            <w:r w:rsidR="00897A73" w:rsidRPr="00294617">
              <w:rPr>
                <w:rFonts w:eastAsia="Calibri"/>
                <w:iCs/>
              </w:rP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w:t>
                  </w:r>
                  <w:r w:rsidRPr="00561F9A">
                    <w:rPr>
                      <w:rFonts w:cs="Arial"/>
                      <w:color w:val="000000"/>
                    </w:rPr>
                    <w:lastRenderedPageBreak/>
                    <w:t xml:space="preserve">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w:t>
                  </w:r>
                  <w:r w:rsidRPr="00F84878">
                    <w:rPr>
                      <w:rFonts w:eastAsia="Calibri" w:cs="Arial"/>
                      <w:color w:val="000000"/>
                    </w:rPr>
                    <w:lastRenderedPageBreak/>
                    <w:t>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lastRenderedPageBreak/>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7A73" w:rsidRPr="00294617" w:rsidRDefault="00897A73" w:rsidP="00897A73">
            <w:pPr>
              <w:ind w:firstLine="459"/>
              <w:jc w:val="both"/>
            </w:pPr>
            <w:r w:rsidRPr="00294617">
              <w:t xml:space="preserve">Победителем Открытого запроса котировок будет признан Участник, который предложил наиболее цену единицы товара (работы, услуги), по сравнению </w:t>
            </w:r>
            <w:proofErr w:type="gramStart"/>
            <w:r w:rsidRPr="00294617">
              <w:t>с</w:t>
            </w:r>
            <w:proofErr w:type="gramEnd"/>
            <w:r w:rsidRPr="00294617">
              <w:t xml:space="preserve"> указанными в Документации. </w:t>
            </w:r>
          </w:p>
          <w:p w:rsidR="00897A73" w:rsidRPr="00294617" w:rsidRDefault="00897A73" w:rsidP="00897A73">
            <w:pPr>
              <w:ind w:firstLine="459"/>
              <w:jc w:val="both"/>
            </w:pPr>
            <w:proofErr w:type="gramStart"/>
            <w:r w:rsidRPr="00294617">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897A73" w:rsidRPr="00294617" w:rsidRDefault="00897A73" w:rsidP="00897A73">
            <w:pPr>
              <w:ind w:firstLine="459"/>
              <w:jc w:val="both"/>
            </w:pPr>
            <w:r w:rsidRPr="00294617">
              <w:t>При его использовании, если иное не следует из Документации,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897A73" w:rsidRDefault="00897A73" w:rsidP="00897A73">
            <w:pPr>
              <w:ind w:firstLine="459"/>
              <w:jc w:val="both"/>
            </w:pPr>
            <w:r w:rsidRPr="00294617">
              <w:t xml:space="preserve">Перечень товаров с единичными расценками приводится в </w:t>
            </w:r>
            <w:r w:rsidRPr="00897A73">
              <w:rPr>
                <w:b/>
              </w:rPr>
              <w:t>Приложениях №№  1.2, 1.3, 1.4, 1.5, 1.6</w:t>
            </w:r>
            <w:r>
              <w:t xml:space="preserve"> </w:t>
            </w:r>
            <w:r w:rsidRPr="00E61607">
              <w:t>к Извещению</w:t>
            </w:r>
            <w:r>
              <w:t xml:space="preserve"> о закупке</w:t>
            </w:r>
            <w:r w:rsidRPr="00294617">
              <w:t>.</w:t>
            </w:r>
            <w:r w:rsidR="009D4E7E">
              <w:t xml:space="preserve"> </w:t>
            </w:r>
            <w:r w:rsidRPr="00294617">
              <w:t xml:space="preserve"> </w:t>
            </w:r>
          </w:p>
          <w:p w:rsidR="009D4E7E" w:rsidRDefault="009D4E7E" w:rsidP="00897A73">
            <w:pPr>
              <w:ind w:firstLine="459"/>
              <w:jc w:val="both"/>
            </w:pPr>
          </w:p>
          <w:tbl>
            <w:tblPr>
              <w:tblW w:w="67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0"/>
              <w:gridCol w:w="4961"/>
              <w:gridCol w:w="993"/>
            </w:tblGrid>
            <w:tr w:rsidR="009D4E7E" w:rsidRPr="00A4788C" w:rsidTr="009D4E7E">
              <w:trPr>
                <w:tblHeader/>
              </w:trPr>
              <w:tc>
                <w:tcPr>
                  <w:tcW w:w="770" w:type="dxa"/>
                  <w:tcBorders>
                    <w:top w:val="single" w:sz="4" w:space="0" w:color="auto"/>
                    <w:left w:val="single" w:sz="4" w:space="0" w:color="auto"/>
                    <w:bottom w:val="single" w:sz="4" w:space="0" w:color="auto"/>
                    <w:right w:val="single" w:sz="4" w:space="0" w:color="auto"/>
                  </w:tcBorders>
                </w:tcPr>
                <w:p w:rsidR="009D4E7E" w:rsidRPr="00A4788C" w:rsidRDefault="009D4E7E" w:rsidP="001E6C0A">
                  <w:pPr>
                    <w:pStyle w:val="aff3"/>
                    <w:tabs>
                      <w:tab w:val="clear" w:pos="1980"/>
                    </w:tabs>
                    <w:ind w:left="0" w:firstLine="0"/>
                    <w:jc w:val="center"/>
                    <w:rPr>
                      <w:b/>
                      <w:bCs/>
                      <w:szCs w:val="24"/>
                    </w:rPr>
                  </w:pPr>
                  <w:r>
                    <w:rPr>
                      <w:b/>
                      <w:bCs/>
                      <w:szCs w:val="24"/>
                    </w:rPr>
                    <w:t xml:space="preserve">№ </w:t>
                  </w:r>
                  <w:proofErr w:type="gramStart"/>
                  <w:r>
                    <w:rPr>
                      <w:b/>
                      <w:bCs/>
                      <w:szCs w:val="24"/>
                    </w:rPr>
                    <w:t>п</w:t>
                  </w:r>
                  <w:proofErr w:type="gramEnd"/>
                  <w:r>
                    <w:rPr>
                      <w:b/>
                      <w:bCs/>
                      <w:szCs w:val="24"/>
                    </w:rPr>
                    <w:t>/п</w:t>
                  </w:r>
                </w:p>
              </w:tc>
              <w:tc>
                <w:tcPr>
                  <w:tcW w:w="4961" w:type="dxa"/>
                  <w:tcBorders>
                    <w:top w:val="single" w:sz="4" w:space="0" w:color="auto"/>
                    <w:left w:val="single" w:sz="4" w:space="0" w:color="auto"/>
                    <w:bottom w:val="single" w:sz="4" w:space="0" w:color="auto"/>
                    <w:right w:val="single" w:sz="4" w:space="0" w:color="auto"/>
                  </w:tcBorders>
                  <w:vAlign w:val="center"/>
                </w:tcPr>
                <w:p w:rsidR="009D4E7E" w:rsidRPr="00A4788C" w:rsidRDefault="009D4E7E" w:rsidP="00F31399">
                  <w:pPr>
                    <w:pStyle w:val="aff3"/>
                    <w:tabs>
                      <w:tab w:val="clear" w:pos="1980"/>
                    </w:tabs>
                    <w:ind w:left="0" w:firstLine="0"/>
                    <w:jc w:val="center"/>
                    <w:rPr>
                      <w:b/>
                      <w:bCs/>
                      <w:szCs w:val="24"/>
                    </w:rPr>
                  </w:pPr>
                  <w:r w:rsidRPr="00A4788C">
                    <w:rPr>
                      <w:b/>
                      <w:bCs/>
                      <w:szCs w:val="24"/>
                    </w:rPr>
                    <w:t xml:space="preserve">Критерии оценки </w:t>
                  </w:r>
                  <w:r w:rsidR="00F31399">
                    <w:rPr>
                      <w:b/>
                      <w:bCs/>
                      <w:szCs w:val="24"/>
                    </w:rPr>
                    <w:t>цены</w:t>
                  </w:r>
                  <w:r w:rsidRPr="00A4788C">
                    <w:rPr>
                      <w:b/>
                      <w:szCs w:val="24"/>
                    </w:rPr>
                    <w:t xml:space="preserve"> </w:t>
                  </w:r>
                </w:p>
              </w:tc>
              <w:tc>
                <w:tcPr>
                  <w:tcW w:w="993" w:type="dxa"/>
                  <w:tcBorders>
                    <w:top w:val="single" w:sz="4" w:space="0" w:color="auto"/>
                    <w:left w:val="single" w:sz="4" w:space="0" w:color="auto"/>
                    <w:bottom w:val="single" w:sz="4" w:space="0" w:color="auto"/>
                    <w:right w:val="single" w:sz="4" w:space="0" w:color="auto"/>
                  </w:tcBorders>
                </w:tcPr>
                <w:p w:rsidR="009D4E7E" w:rsidRPr="00A4788C" w:rsidRDefault="009D4E7E" w:rsidP="001E6C0A">
                  <w:pPr>
                    <w:pStyle w:val="aff3"/>
                    <w:tabs>
                      <w:tab w:val="clear" w:pos="1980"/>
                    </w:tabs>
                    <w:ind w:left="0" w:firstLine="0"/>
                    <w:jc w:val="center"/>
                    <w:rPr>
                      <w:b/>
                      <w:bCs/>
                      <w:szCs w:val="24"/>
                    </w:rPr>
                  </w:pPr>
                  <w:r w:rsidRPr="00A4788C">
                    <w:rPr>
                      <w:b/>
                      <w:bCs/>
                      <w:szCs w:val="24"/>
                    </w:rPr>
                    <w:t>Значимость критериев в процентах</w:t>
                  </w:r>
                </w:p>
                <w:p w:rsidR="009D4E7E" w:rsidRPr="00A4788C" w:rsidRDefault="009D4E7E" w:rsidP="001E6C0A">
                  <w:pPr>
                    <w:pStyle w:val="aff3"/>
                    <w:tabs>
                      <w:tab w:val="clear" w:pos="1980"/>
                    </w:tabs>
                    <w:ind w:left="0" w:firstLine="0"/>
                    <w:jc w:val="center"/>
                    <w:rPr>
                      <w:b/>
                      <w:bCs/>
                      <w:szCs w:val="24"/>
                    </w:rPr>
                  </w:pPr>
                  <w:r w:rsidRPr="00A4788C">
                    <w:rPr>
                      <w:b/>
                      <w:bCs/>
                      <w:szCs w:val="24"/>
                    </w:rPr>
                    <w:t>(К)</w:t>
                  </w:r>
                </w:p>
              </w:tc>
            </w:tr>
            <w:tr w:rsidR="009D4E7E" w:rsidRPr="00FF56C2" w:rsidTr="009D4E7E">
              <w:trPr>
                <w:trHeight w:val="70"/>
              </w:trPr>
              <w:tc>
                <w:tcPr>
                  <w:tcW w:w="770" w:type="dxa"/>
                  <w:tcBorders>
                    <w:top w:val="single" w:sz="4" w:space="0" w:color="auto"/>
                    <w:left w:val="single" w:sz="4" w:space="0" w:color="auto"/>
                    <w:right w:val="single" w:sz="4" w:space="0" w:color="auto"/>
                  </w:tcBorders>
                </w:tcPr>
                <w:p w:rsidR="009D4E7E" w:rsidRPr="00A4788C" w:rsidRDefault="009D4E7E" w:rsidP="001E6C0A">
                  <w:pPr>
                    <w:pStyle w:val="aff3"/>
                    <w:tabs>
                      <w:tab w:val="clear" w:pos="1980"/>
                    </w:tabs>
                    <w:ind w:left="0" w:firstLine="0"/>
                    <w:jc w:val="center"/>
                    <w:rPr>
                      <w:szCs w:val="24"/>
                    </w:rPr>
                  </w:pPr>
                  <w:r w:rsidRPr="00A4788C">
                    <w:rPr>
                      <w:szCs w:val="24"/>
                    </w:rPr>
                    <w:t>1.</w:t>
                  </w:r>
                </w:p>
              </w:tc>
              <w:tc>
                <w:tcPr>
                  <w:tcW w:w="4961" w:type="dxa"/>
                  <w:tcBorders>
                    <w:top w:val="single" w:sz="4" w:space="0" w:color="auto"/>
                    <w:left w:val="single" w:sz="4" w:space="0" w:color="auto"/>
                    <w:right w:val="single" w:sz="4" w:space="0" w:color="auto"/>
                  </w:tcBorders>
                </w:tcPr>
                <w:p w:rsidR="009D4E7E" w:rsidRPr="00AD116B" w:rsidRDefault="009D4E7E" w:rsidP="001E6C0A">
                  <w:pPr>
                    <w:pStyle w:val="aff3"/>
                    <w:tabs>
                      <w:tab w:val="clear" w:pos="1980"/>
                    </w:tabs>
                    <w:ind w:left="0" w:hanging="3"/>
                    <w:rPr>
                      <w:szCs w:val="24"/>
                    </w:rPr>
                  </w:pPr>
                  <w:r>
                    <w:rPr>
                      <w:b/>
                    </w:rPr>
                    <w:t xml:space="preserve">Коэффициент снижения цены (меньше 1,0) </w:t>
                  </w:r>
                </w:p>
              </w:tc>
              <w:tc>
                <w:tcPr>
                  <w:tcW w:w="993" w:type="dxa"/>
                  <w:tcBorders>
                    <w:top w:val="single" w:sz="4" w:space="0" w:color="auto"/>
                    <w:left w:val="single" w:sz="4" w:space="0" w:color="auto"/>
                    <w:right w:val="single" w:sz="4" w:space="0" w:color="auto"/>
                  </w:tcBorders>
                </w:tcPr>
                <w:p w:rsidR="009D4E7E" w:rsidRPr="00FF56C2" w:rsidRDefault="009D4E7E" w:rsidP="001E6C0A">
                  <w:pPr>
                    <w:pStyle w:val="aff3"/>
                    <w:ind w:left="34" w:firstLine="0"/>
                    <w:jc w:val="center"/>
                    <w:rPr>
                      <w:color w:val="000000"/>
                      <w:szCs w:val="24"/>
                    </w:rPr>
                  </w:pPr>
                </w:p>
              </w:tc>
            </w:tr>
            <w:tr w:rsidR="009D4E7E" w:rsidTr="009D4E7E">
              <w:trPr>
                <w:trHeight w:val="70"/>
              </w:trPr>
              <w:tc>
                <w:tcPr>
                  <w:tcW w:w="770" w:type="dxa"/>
                  <w:tcBorders>
                    <w:top w:val="single" w:sz="4" w:space="0" w:color="auto"/>
                    <w:left w:val="single" w:sz="4" w:space="0" w:color="auto"/>
                    <w:right w:val="single" w:sz="4" w:space="0" w:color="auto"/>
                  </w:tcBorders>
                </w:tcPr>
                <w:p w:rsidR="009D4E7E" w:rsidRDefault="009D4E7E" w:rsidP="009D4E7E">
                  <w:pPr>
                    <w:pStyle w:val="aff3"/>
                    <w:tabs>
                      <w:tab w:val="clear" w:pos="1980"/>
                    </w:tabs>
                    <w:ind w:left="0" w:firstLine="0"/>
                    <w:jc w:val="center"/>
                    <w:rPr>
                      <w:szCs w:val="24"/>
                    </w:rPr>
                  </w:pPr>
                  <w:r>
                    <w:rPr>
                      <w:szCs w:val="24"/>
                    </w:rPr>
                    <w:t>1.</w:t>
                  </w:r>
                  <w:r>
                    <w:rPr>
                      <w:szCs w:val="24"/>
                    </w:rPr>
                    <w:t>1</w:t>
                  </w:r>
                  <w:r>
                    <w:rPr>
                      <w:szCs w:val="24"/>
                    </w:rPr>
                    <w:t>.</w:t>
                  </w:r>
                </w:p>
              </w:tc>
              <w:tc>
                <w:tcPr>
                  <w:tcW w:w="4961" w:type="dxa"/>
                  <w:tcBorders>
                    <w:top w:val="single" w:sz="4" w:space="0" w:color="auto"/>
                    <w:left w:val="single" w:sz="4" w:space="0" w:color="auto"/>
                    <w:right w:val="single" w:sz="4" w:space="0" w:color="auto"/>
                  </w:tcBorders>
                </w:tcPr>
                <w:p w:rsidR="009D4E7E" w:rsidRDefault="009D4E7E" w:rsidP="001E6C0A">
                  <w:pPr>
                    <w:pStyle w:val="aff3"/>
                    <w:tabs>
                      <w:tab w:val="clear" w:pos="1980"/>
                    </w:tabs>
                    <w:ind w:left="0" w:hanging="3"/>
                    <w:rPr>
                      <w:szCs w:val="24"/>
                    </w:rPr>
                  </w:pPr>
                  <w:r w:rsidRPr="009D4E7E">
                    <w:rPr>
                      <w:szCs w:val="24"/>
                    </w:rPr>
                    <w:t xml:space="preserve">По спецификации </w:t>
                  </w:r>
                  <w:r>
                    <w:rPr>
                      <w:szCs w:val="24"/>
                    </w:rPr>
                    <w:t>(Приложение №1.2.)</w:t>
                  </w:r>
                </w:p>
              </w:tc>
              <w:tc>
                <w:tcPr>
                  <w:tcW w:w="993" w:type="dxa"/>
                  <w:tcBorders>
                    <w:top w:val="single" w:sz="4" w:space="0" w:color="auto"/>
                    <w:left w:val="single" w:sz="4" w:space="0" w:color="auto"/>
                    <w:right w:val="single" w:sz="4" w:space="0" w:color="auto"/>
                  </w:tcBorders>
                </w:tcPr>
                <w:p w:rsidR="009D4E7E" w:rsidRDefault="009D4E7E" w:rsidP="001E6C0A">
                  <w:pPr>
                    <w:jc w:val="center"/>
                  </w:pPr>
                  <w:r>
                    <w:rPr>
                      <w:color w:val="000000"/>
                    </w:rPr>
                    <w:t>2</w:t>
                  </w:r>
                  <w:r>
                    <w:rPr>
                      <w:color w:val="000000"/>
                    </w:rPr>
                    <w:t>0</w:t>
                  </w:r>
                  <w:r w:rsidRPr="00A5050A">
                    <w:rPr>
                      <w:color w:val="000000"/>
                    </w:rPr>
                    <w:t>%</w:t>
                  </w:r>
                </w:p>
              </w:tc>
            </w:tr>
            <w:tr w:rsidR="009D4E7E" w:rsidTr="009D4E7E">
              <w:trPr>
                <w:trHeight w:val="70"/>
              </w:trPr>
              <w:tc>
                <w:tcPr>
                  <w:tcW w:w="770" w:type="dxa"/>
                  <w:tcBorders>
                    <w:top w:val="single" w:sz="4" w:space="0" w:color="auto"/>
                    <w:left w:val="single" w:sz="4" w:space="0" w:color="auto"/>
                    <w:right w:val="single" w:sz="4" w:space="0" w:color="auto"/>
                  </w:tcBorders>
                </w:tcPr>
                <w:p w:rsidR="009D4E7E" w:rsidRDefault="009D4E7E" w:rsidP="009D4E7E">
                  <w:pPr>
                    <w:pStyle w:val="aff3"/>
                    <w:tabs>
                      <w:tab w:val="clear" w:pos="1980"/>
                    </w:tabs>
                    <w:ind w:left="0" w:firstLine="0"/>
                    <w:jc w:val="center"/>
                    <w:rPr>
                      <w:szCs w:val="24"/>
                    </w:rPr>
                  </w:pPr>
                  <w:r>
                    <w:rPr>
                      <w:szCs w:val="24"/>
                    </w:rPr>
                    <w:t>1.</w:t>
                  </w:r>
                  <w:r>
                    <w:rPr>
                      <w:szCs w:val="24"/>
                    </w:rPr>
                    <w:t>2</w:t>
                  </w:r>
                  <w:r>
                    <w:rPr>
                      <w:szCs w:val="24"/>
                    </w:rPr>
                    <w:t>.</w:t>
                  </w:r>
                </w:p>
              </w:tc>
              <w:tc>
                <w:tcPr>
                  <w:tcW w:w="4961" w:type="dxa"/>
                  <w:tcBorders>
                    <w:top w:val="single" w:sz="4" w:space="0" w:color="auto"/>
                    <w:left w:val="single" w:sz="4" w:space="0" w:color="auto"/>
                    <w:right w:val="single" w:sz="4" w:space="0" w:color="auto"/>
                  </w:tcBorders>
                </w:tcPr>
                <w:p w:rsidR="009D4E7E" w:rsidRDefault="009D4E7E" w:rsidP="001E6C0A">
                  <w:pPr>
                    <w:pStyle w:val="aff3"/>
                    <w:tabs>
                      <w:tab w:val="clear" w:pos="1980"/>
                    </w:tabs>
                    <w:ind w:left="0" w:hanging="3"/>
                    <w:rPr>
                      <w:szCs w:val="24"/>
                    </w:rPr>
                  </w:pPr>
                  <w:r w:rsidRPr="009D4E7E">
                    <w:rPr>
                      <w:szCs w:val="24"/>
                    </w:rPr>
                    <w:t>По спецификации</w:t>
                  </w:r>
                  <w:r>
                    <w:rPr>
                      <w:szCs w:val="24"/>
                    </w:rPr>
                    <w:t xml:space="preserve"> (Приложение №1.3.)</w:t>
                  </w:r>
                </w:p>
              </w:tc>
              <w:tc>
                <w:tcPr>
                  <w:tcW w:w="993" w:type="dxa"/>
                  <w:tcBorders>
                    <w:top w:val="single" w:sz="4" w:space="0" w:color="auto"/>
                    <w:left w:val="single" w:sz="4" w:space="0" w:color="auto"/>
                    <w:right w:val="single" w:sz="4" w:space="0" w:color="auto"/>
                  </w:tcBorders>
                </w:tcPr>
                <w:p w:rsidR="009D4E7E" w:rsidRDefault="009D4E7E" w:rsidP="001E6C0A">
                  <w:pPr>
                    <w:jc w:val="center"/>
                  </w:pPr>
                  <w:r>
                    <w:rPr>
                      <w:color w:val="000000"/>
                    </w:rPr>
                    <w:t>2</w:t>
                  </w:r>
                  <w:r>
                    <w:rPr>
                      <w:color w:val="000000"/>
                    </w:rPr>
                    <w:t>0</w:t>
                  </w:r>
                  <w:r w:rsidRPr="00A5050A">
                    <w:rPr>
                      <w:color w:val="000000"/>
                    </w:rPr>
                    <w:t>%</w:t>
                  </w:r>
                </w:p>
              </w:tc>
            </w:tr>
            <w:tr w:rsidR="009D4E7E" w:rsidTr="009D4E7E">
              <w:trPr>
                <w:trHeight w:val="70"/>
              </w:trPr>
              <w:tc>
                <w:tcPr>
                  <w:tcW w:w="770" w:type="dxa"/>
                  <w:tcBorders>
                    <w:top w:val="single" w:sz="4" w:space="0" w:color="auto"/>
                    <w:left w:val="single" w:sz="4" w:space="0" w:color="auto"/>
                    <w:right w:val="single" w:sz="4" w:space="0" w:color="auto"/>
                  </w:tcBorders>
                </w:tcPr>
                <w:p w:rsidR="009D4E7E" w:rsidRDefault="009D4E7E" w:rsidP="009D4E7E">
                  <w:pPr>
                    <w:pStyle w:val="aff3"/>
                    <w:tabs>
                      <w:tab w:val="clear" w:pos="1980"/>
                    </w:tabs>
                    <w:ind w:left="0" w:firstLine="0"/>
                    <w:jc w:val="center"/>
                    <w:rPr>
                      <w:szCs w:val="24"/>
                    </w:rPr>
                  </w:pPr>
                  <w:r>
                    <w:rPr>
                      <w:szCs w:val="24"/>
                    </w:rPr>
                    <w:t>1.</w:t>
                  </w:r>
                  <w:r>
                    <w:rPr>
                      <w:szCs w:val="24"/>
                    </w:rPr>
                    <w:t>3</w:t>
                  </w:r>
                  <w:r>
                    <w:rPr>
                      <w:szCs w:val="24"/>
                    </w:rPr>
                    <w:t>.</w:t>
                  </w:r>
                </w:p>
              </w:tc>
              <w:tc>
                <w:tcPr>
                  <w:tcW w:w="4961" w:type="dxa"/>
                  <w:tcBorders>
                    <w:top w:val="single" w:sz="4" w:space="0" w:color="auto"/>
                    <w:left w:val="single" w:sz="4" w:space="0" w:color="auto"/>
                    <w:right w:val="single" w:sz="4" w:space="0" w:color="auto"/>
                  </w:tcBorders>
                </w:tcPr>
                <w:p w:rsidR="009D4E7E" w:rsidRDefault="009D4E7E" w:rsidP="001E6C0A">
                  <w:pPr>
                    <w:pStyle w:val="aff3"/>
                    <w:tabs>
                      <w:tab w:val="clear" w:pos="1980"/>
                    </w:tabs>
                    <w:ind w:left="0" w:hanging="3"/>
                    <w:rPr>
                      <w:szCs w:val="24"/>
                    </w:rPr>
                  </w:pPr>
                  <w:r w:rsidRPr="009D4E7E">
                    <w:rPr>
                      <w:szCs w:val="24"/>
                    </w:rPr>
                    <w:t xml:space="preserve">По спецификации </w:t>
                  </w:r>
                  <w:r>
                    <w:rPr>
                      <w:szCs w:val="24"/>
                    </w:rPr>
                    <w:t>(Приложение №1.4.)</w:t>
                  </w:r>
                </w:p>
              </w:tc>
              <w:tc>
                <w:tcPr>
                  <w:tcW w:w="993" w:type="dxa"/>
                  <w:tcBorders>
                    <w:top w:val="single" w:sz="4" w:space="0" w:color="auto"/>
                    <w:left w:val="single" w:sz="4" w:space="0" w:color="auto"/>
                    <w:right w:val="single" w:sz="4" w:space="0" w:color="auto"/>
                  </w:tcBorders>
                </w:tcPr>
                <w:p w:rsidR="009D4E7E" w:rsidRDefault="009D4E7E" w:rsidP="001E6C0A">
                  <w:pPr>
                    <w:jc w:val="center"/>
                  </w:pPr>
                  <w:r>
                    <w:rPr>
                      <w:color w:val="000000"/>
                    </w:rPr>
                    <w:t>2</w:t>
                  </w:r>
                  <w:r>
                    <w:rPr>
                      <w:color w:val="000000"/>
                    </w:rPr>
                    <w:t>0</w:t>
                  </w:r>
                  <w:r w:rsidRPr="00A5050A">
                    <w:rPr>
                      <w:color w:val="000000"/>
                    </w:rPr>
                    <w:t>%</w:t>
                  </w:r>
                </w:p>
              </w:tc>
            </w:tr>
            <w:tr w:rsidR="009D4E7E" w:rsidTr="009D4E7E">
              <w:trPr>
                <w:trHeight w:val="70"/>
              </w:trPr>
              <w:tc>
                <w:tcPr>
                  <w:tcW w:w="770" w:type="dxa"/>
                  <w:tcBorders>
                    <w:top w:val="single" w:sz="4" w:space="0" w:color="auto"/>
                    <w:left w:val="single" w:sz="4" w:space="0" w:color="auto"/>
                    <w:right w:val="single" w:sz="4" w:space="0" w:color="auto"/>
                  </w:tcBorders>
                </w:tcPr>
                <w:p w:rsidR="009D4E7E" w:rsidRDefault="009D4E7E" w:rsidP="009D4E7E">
                  <w:pPr>
                    <w:pStyle w:val="aff3"/>
                    <w:tabs>
                      <w:tab w:val="clear" w:pos="1980"/>
                    </w:tabs>
                    <w:ind w:left="0" w:firstLine="0"/>
                    <w:jc w:val="center"/>
                    <w:rPr>
                      <w:szCs w:val="24"/>
                    </w:rPr>
                  </w:pPr>
                  <w:r>
                    <w:rPr>
                      <w:szCs w:val="24"/>
                    </w:rPr>
                    <w:t>1.</w:t>
                  </w:r>
                  <w:r>
                    <w:rPr>
                      <w:szCs w:val="24"/>
                    </w:rPr>
                    <w:t>4</w:t>
                  </w:r>
                  <w:r>
                    <w:rPr>
                      <w:szCs w:val="24"/>
                    </w:rPr>
                    <w:t>.</w:t>
                  </w:r>
                </w:p>
              </w:tc>
              <w:tc>
                <w:tcPr>
                  <w:tcW w:w="4961" w:type="dxa"/>
                  <w:tcBorders>
                    <w:top w:val="single" w:sz="4" w:space="0" w:color="auto"/>
                    <w:left w:val="single" w:sz="4" w:space="0" w:color="auto"/>
                    <w:right w:val="single" w:sz="4" w:space="0" w:color="auto"/>
                  </w:tcBorders>
                </w:tcPr>
                <w:p w:rsidR="009D4E7E" w:rsidRDefault="009D4E7E" w:rsidP="001E6C0A">
                  <w:pPr>
                    <w:pStyle w:val="aff3"/>
                    <w:tabs>
                      <w:tab w:val="clear" w:pos="1980"/>
                    </w:tabs>
                    <w:ind w:left="0" w:hanging="3"/>
                    <w:rPr>
                      <w:szCs w:val="24"/>
                    </w:rPr>
                  </w:pPr>
                  <w:r w:rsidRPr="009D4E7E">
                    <w:rPr>
                      <w:szCs w:val="24"/>
                    </w:rPr>
                    <w:t xml:space="preserve">По спецификации </w:t>
                  </w:r>
                  <w:r>
                    <w:rPr>
                      <w:szCs w:val="24"/>
                    </w:rPr>
                    <w:t>(Приложение №1.5.)</w:t>
                  </w:r>
                </w:p>
              </w:tc>
              <w:tc>
                <w:tcPr>
                  <w:tcW w:w="993" w:type="dxa"/>
                  <w:tcBorders>
                    <w:top w:val="single" w:sz="4" w:space="0" w:color="auto"/>
                    <w:left w:val="single" w:sz="4" w:space="0" w:color="auto"/>
                    <w:right w:val="single" w:sz="4" w:space="0" w:color="auto"/>
                  </w:tcBorders>
                </w:tcPr>
                <w:p w:rsidR="009D4E7E" w:rsidRDefault="009D4E7E" w:rsidP="001E6C0A">
                  <w:pPr>
                    <w:jc w:val="center"/>
                  </w:pPr>
                  <w:r>
                    <w:rPr>
                      <w:color w:val="000000"/>
                    </w:rPr>
                    <w:t>2</w:t>
                  </w:r>
                  <w:r>
                    <w:rPr>
                      <w:color w:val="000000"/>
                    </w:rPr>
                    <w:t>0</w:t>
                  </w:r>
                  <w:r w:rsidRPr="00A5050A">
                    <w:rPr>
                      <w:color w:val="000000"/>
                    </w:rPr>
                    <w:t>%</w:t>
                  </w:r>
                </w:p>
              </w:tc>
            </w:tr>
            <w:tr w:rsidR="009D4E7E" w:rsidTr="009D4E7E">
              <w:trPr>
                <w:trHeight w:val="70"/>
              </w:trPr>
              <w:tc>
                <w:tcPr>
                  <w:tcW w:w="770" w:type="dxa"/>
                  <w:tcBorders>
                    <w:top w:val="single" w:sz="4" w:space="0" w:color="auto"/>
                    <w:left w:val="single" w:sz="4" w:space="0" w:color="auto"/>
                    <w:right w:val="single" w:sz="4" w:space="0" w:color="auto"/>
                  </w:tcBorders>
                </w:tcPr>
                <w:p w:rsidR="009D4E7E" w:rsidRDefault="009D4E7E" w:rsidP="009D4E7E">
                  <w:pPr>
                    <w:pStyle w:val="aff3"/>
                    <w:tabs>
                      <w:tab w:val="clear" w:pos="1980"/>
                    </w:tabs>
                    <w:ind w:left="0" w:firstLine="0"/>
                    <w:jc w:val="center"/>
                    <w:rPr>
                      <w:szCs w:val="24"/>
                    </w:rPr>
                  </w:pPr>
                  <w:r>
                    <w:rPr>
                      <w:szCs w:val="24"/>
                    </w:rPr>
                    <w:t>1.</w:t>
                  </w:r>
                  <w:r>
                    <w:rPr>
                      <w:szCs w:val="24"/>
                    </w:rPr>
                    <w:t>5</w:t>
                  </w:r>
                  <w:r>
                    <w:rPr>
                      <w:szCs w:val="24"/>
                    </w:rPr>
                    <w:t>.</w:t>
                  </w:r>
                </w:p>
              </w:tc>
              <w:tc>
                <w:tcPr>
                  <w:tcW w:w="4961" w:type="dxa"/>
                  <w:tcBorders>
                    <w:top w:val="single" w:sz="4" w:space="0" w:color="auto"/>
                    <w:left w:val="single" w:sz="4" w:space="0" w:color="auto"/>
                    <w:right w:val="single" w:sz="4" w:space="0" w:color="auto"/>
                  </w:tcBorders>
                </w:tcPr>
                <w:p w:rsidR="009D4E7E" w:rsidRDefault="009D4E7E" w:rsidP="001E6C0A">
                  <w:pPr>
                    <w:pStyle w:val="aff3"/>
                    <w:tabs>
                      <w:tab w:val="clear" w:pos="1980"/>
                    </w:tabs>
                    <w:ind w:left="0" w:hanging="3"/>
                    <w:rPr>
                      <w:szCs w:val="24"/>
                    </w:rPr>
                  </w:pPr>
                  <w:r w:rsidRPr="009D4E7E">
                    <w:rPr>
                      <w:szCs w:val="24"/>
                    </w:rPr>
                    <w:t xml:space="preserve">По спецификации </w:t>
                  </w:r>
                  <w:r>
                    <w:rPr>
                      <w:szCs w:val="24"/>
                    </w:rPr>
                    <w:t>(Приложение №1.6.)</w:t>
                  </w:r>
                </w:p>
              </w:tc>
              <w:tc>
                <w:tcPr>
                  <w:tcW w:w="993" w:type="dxa"/>
                  <w:tcBorders>
                    <w:top w:val="single" w:sz="4" w:space="0" w:color="auto"/>
                    <w:left w:val="single" w:sz="4" w:space="0" w:color="auto"/>
                    <w:right w:val="single" w:sz="4" w:space="0" w:color="auto"/>
                  </w:tcBorders>
                </w:tcPr>
                <w:p w:rsidR="009D4E7E" w:rsidRDefault="009D4E7E" w:rsidP="001E6C0A">
                  <w:pPr>
                    <w:jc w:val="center"/>
                  </w:pPr>
                  <w:r>
                    <w:rPr>
                      <w:color w:val="000000"/>
                    </w:rPr>
                    <w:t>2</w:t>
                  </w:r>
                  <w:r>
                    <w:rPr>
                      <w:color w:val="000000"/>
                    </w:rPr>
                    <w:t>0</w:t>
                  </w:r>
                  <w:r w:rsidRPr="00A5050A">
                    <w:rPr>
                      <w:color w:val="000000"/>
                    </w:rPr>
                    <w:t>%</w:t>
                  </w:r>
                </w:p>
              </w:tc>
            </w:tr>
          </w:tbl>
          <w:p w:rsidR="009D4E7E" w:rsidRDefault="009D4E7E" w:rsidP="00897A73">
            <w:pPr>
              <w:ind w:firstLine="459"/>
              <w:jc w:val="both"/>
            </w:pPr>
          </w:p>
          <w:p w:rsidR="009D4E7E" w:rsidRDefault="009D4E7E" w:rsidP="00897A73">
            <w:pPr>
              <w:ind w:firstLine="459"/>
              <w:jc w:val="both"/>
            </w:pPr>
            <w:r>
              <w:t>Коэф</w:t>
            </w:r>
            <w:r w:rsidR="00224F07">
              <w:t xml:space="preserve">фициент </w:t>
            </w:r>
            <w:r>
              <w:t xml:space="preserve">снижения </w:t>
            </w:r>
            <w:r w:rsidR="00224F07" w:rsidRPr="00294617">
              <w:t xml:space="preserve">цены единицы товара </w:t>
            </w:r>
            <w:r>
              <w:t xml:space="preserve">указывается по каждому Приложению </w:t>
            </w:r>
            <w:r w:rsidR="00224F07">
              <w:t xml:space="preserve">(Приложения №№ 1.2-1.6) отдельно и </w:t>
            </w:r>
            <w:r>
              <w:t xml:space="preserve">применяется единым ко всем позициям </w:t>
            </w:r>
            <w:r w:rsidR="00224F07">
              <w:t>П</w:t>
            </w:r>
            <w:r>
              <w:t>риложения</w:t>
            </w:r>
            <w:r w:rsidR="00224F07">
              <w:t xml:space="preserve"> (например, коэффициент снижения по Приложению №1.2 равен 0,98 , коэффициент снижения по приложению №1.3. равен 0,97 и т.п.).</w:t>
            </w:r>
          </w:p>
          <w:p w:rsidR="00F31399" w:rsidRDefault="00F31399" w:rsidP="00F31399">
            <w:pPr>
              <w:ind w:firstLine="459"/>
              <w:jc w:val="both"/>
            </w:pPr>
            <w:r>
              <w:t>Рейтинг, присуждаемый заявке по критерию «</w:t>
            </w:r>
            <w:r>
              <w:t>К</w:t>
            </w:r>
            <w:r>
              <w:t>оэффициент снижения цены», определяется по формуле:</w:t>
            </w:r>
          </w:p>
          <w:p w:rsidR="00F31399" w:rsidRDefault="00F31399" w:rsidP="00F31399">
            <w:pPr>
              <w:ind w:firstLine="459"/>
              <w:jc w:val="both"/>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23" o:title=""/>
                </v:shape>
                <o:OLEObject Type="Embed" ProgID="Equation.3" ShapeID="_x0000_i1025" DrawAspect="Content" ObjectID="_1511771521" r:id="rId24"/>
              </w:object>
            </w:r>
          </w:p>
          <w:p w:rsidR="00F31399" w:rsidRDefault="00F31399" w:rsidP="00F31399">
            <w:pPr>
              <w:ind w:firstLine="459"/>
              <w:jc w:val="both"/>
            </w:pPr>
            <w:r>
              <w:t xml:space="preserve"> </w:t>
            </w:r>
          </w:p>
          <w:p w:rsidR="00F31399" w:rsidRDefault="00F31399" w:rsidP="00F31399">
            <w:pPr>
              <w:ind w:firstLine="459"/>
              <w:jc w:val="both"/>
            </w:pPr>
            <w:r>
              <w:t>где:</w:t>
            </w:r>
          </w:p>
          <w:p w:rsidR="00F31399" w:rsidRDefault="00F31399" w:rsidP="00F31399">
            <w:pPr>
              <w:ind w:firstLine="459"/>
              <w:jc w:val="both"/>
            </w:pPr>
            <w:proofErr w:type="spellStart"/>
            <w:r>
              <w:t>Rai</w:t>
            </w:r>
            <w:proofErr w:type="spellEnd"/>
            <w:r>
              <w:t>- рейтинг, присуждаемый i-й заявке по указанному критерию;</w:t>
            </w:r>
          </w:p>
          <w:p w:rsidR="00F31399" w:rsidRDefault="00F31399" w:rsidP="00F31399">
            <w:pPr>
              <w:ind w:firstLine="459"/>
              <w:jc w:val="both"/>
            </w:pPr>
            <w:proofErr w:type="spellStart"/>
            <w:r>
              <w:lastRenderedPageBreak/>
              <w:t>Amin</w:t>
            </w:r>
            <w:proofErr w:type="spellEnd"/>
            <w:r>
              <w:t>–минимальное предложение участника запроса предложений по критерию «</w:t>
            </w:r>
            <w:r>
              <w:t>К</w:t>
            </w:r>
            <w:r>
              <w:t>оэффициент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1399" w:rsidRDefault="00F31399" w:rsidP="00F31399">
            <w:pPr>
              <w:ind w:firstLine="459"/>
              <w:jc w:val="both"/>
            </w:pPr>
            <w:proofErr w:type="spellStart"/>
            <w:r>
              <w:t>Ai</w:t>
            </w:r>
            <w:proofErr w:type="spellEnd"/>
            <w:r>
              <w:t xml:space="preserve"> -  предложение  i-</w:t>
            </w:r>
            <w:proofErr w:type="spellStart"/>
            <w:r>
              <w:t>го</w:t>
            </w:r>
            <w:proofErr w:type="spellEnd"/>
            <w:r>
              <w:t xml:space="preserve"> участника запроса предложений по критерию «</w:t>
            </w:r>
            <w:r>
              <w:t>К</w:t>
            </w:r>
            <w:r>
              <w:t>оэффициент снижения цены».</w:t>
            </w:r>
          </w:p>
          <w:p w:rsidR="00F31399" w:rsidRDefault="00F31399" w:rsidP="00F31399">
            <w:pPr>
              <w:ind w:firstLine="459"/>
              <w:jc w:val="both"/>
            </w:pPr>
            <w:r>
              <w:t>Для расчета итогового рейтинга по заявке на участие в запросе предложений</w:t>
            </w:r>
          </w:p>
          <w:p w:rsidR="009D4E7E" w:rsidRDefault="00F31399" w:rsidP="00F31399">
            <w:pPr>
              <w:ind w:firstLine="459"/>
              <w:jc w:val="both"/>
            </w:pPr>
            <w:r>
              <w:t>рейтинг, присуждаемый этой заявке по критерию «</w:t>
            </w:r>
            <w:r>
              <w:t>К</w:t>
            </w:r>
            <w:r>
              <w:t xml:space="preserve">оэффициент снижения цены», </w:t>
            </w:r>
            <w:r>
              <w:t xml:space="preserve">по Приложениям </w:t>
            </w:r>
            <w:r w:rsidRPr="00F31399">
              <w:rPr>
                <w:b/>
              </w:rPr>
              <w:t>№№ 1.2-1.6</w:t>
            </w:r>
            <w:r>
              <w:t xml:space="preserve"> </w:t>
            </w:r>
            <w:r>
              <w:t>умножается на соответствующую указанному критерию значимость.</w:t>
            </w:r>
          </w:p>
          <w:p w:rsidR="00F31399" w:rsidRPr="00294617" w:rsidRDefault="00F31399" w:rsidP="00897A73">
            <w:pPr>
              <w:ind w:firstLine="459"/>
              <w:jc w:val="both"/>
            </w:pPr>
          </w:p>
          <w:p w:rsidR="00897A73" w:rsidRPr="00294617" w:rsidRDefault="00897A73" w:rsidP="00897A73">
            <w:pPr>
              <w:ind w:firstLine="459"/>
              <w:jc w:val="both"/>
            </w:pPr>
            <w:r w:rsidRPr="00294617">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t>,</w:t>
            </w:r>
            <w:r w:rsidRPr="00294617">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97A73" w:rsidRPr="00294617" w:rsidRDefault="00897A73" w:rsidP="00897A73">
            <w:pPr>
              <w:ind w:firstLine="459"/>
              <w:jc w:val="both"/>
              <w:rPr>
                <w:sz w:val="26"/>
                <w:szCs w:val="26"/>
              </w:rPr>
            </w:pPr>
            <w:r w:rsidRPr="00294617">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294617">
              <w:rPr>
                <w:sz w:val="26"/>
                <w:szCs w:val="26"/>
              </w:rPr>
              <w:t xml:space="preserve"> </w:t>
            </w:r>
          </w:p>
          <w:p w:rsidR="00897A73" w:rsidRPr="00294617" w:rsidRDefault="00897A73" w:rsidP="00897A73">
            <w:pPr>
              <w:ind w:firstLine="459"/>
              <w:jc w:val="both"/>
            </w:pPr>
            <w:r w:rsidRPr="00294617">
              <w:t xml:space="preserve">Аномально заниженной ценой договора (договоров) признается снижение цены на 25 % (двадцать пять процентов). </w:t>
            </w:r>
            <w:bookmarkStart w:id="17" w:name="_Ref335672087"/>
          </w:p>
          <w:p w:rsidR="00897A73" w:rsidRPr="00294617" w:rsidRDefault="00897A73" w:rsidP="00897A73">
            <w:pPr>
              <w:ind w:firstLine="459"/>
              <w:jc w:val="both"/>
            </w:pPr>
            <w:r w:rsidRPr="00294617">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7"/>
          </w:p>
          <w:p w:rsidR="00204557" w:rsidRPr="00C25CA1" w:rsidRDefault="00897A73" w:rsidP="00897A73">
            <w:pPr>
              <w:pStyle w:val="rvps9"/>
              <w:ind w:firstLine="459"/>
            </w:pPr>
            <w:proofErr w:type="gramStart"/>
            <w:r w:rsidRPr="00294617">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294617">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7A73" w:rsidRPr="00526EC0" w:rsidRDefault="00897A73" w:rsidP="00897A73">
            <w:pPr>
              <w:pStyle w:val="Default"/>
              <w:jc w:val="both"/>
            </w:pPr>
            <w:r>
              <w:t xml:space="preserve">Место </w:t>
            </w:r>
            <w:r w:rsidRPr="00526EC0">
              <w:t>доставки: в соответствии требованиями Технического  задания  (Приложение №1.1 к Извещению).</w:t>
            </w:r>
          </w:p>
          <w:p w:rsidR="00897A73" w:rsidRPr="00526EC0" w:rsidRDefault="00897A73" w:rsidP="00897A73">
            <w:pPr>
              <w:autoSpaceDE w:val="0"/>
              <w:autoSpaceDN w:val="0"/>
              <w:adjustRightInd w:val="0"/>
              <w:jc w:val="both"/>
            </w:pPr>
            <w:r w:rsidRPr="00526EC0">
              <w:t xml:space="preserve">Срок поставки: </w:t>
            </w:r>
          </w:p>
          <w:p w:rsidR="00897A73" w:rsidRPr="00526EC0" w:rsidRDefault="00897A73" w:rsidP="00897A73">
            <w:pPr>
              <w:ind w:firstLine="567"/>
            </w:pPr>
            <w:r w:rsidRPr="00526EC0">
              <w:t xml:space="preserve">– по г. Уфа в течение 1-2 рабочих дней </w:t>
            </w:r>
            <w:bookmarkStart w:id="18" w:name="OLE_LINK11"/>
            <w:bookmarkStart w:id="19" w:name="OLE_LINK12"/>
            <w:bookmarkStart w:id="20" w:name="OLE_LINK13"/>
            <w:proofErr w:type="gramStart"/>
            <w:r w:rsidRPr="00526EC0">
              <w:t>с даты получения</w:t>
            </w:r>
            <w:proofErr w:type="gramEnd"/>
            <w:r w:rsidRPr="00526EC0">
              <w:t xml:space="preserve"> заявки от Покупателя </w:t>
            </w:r>
            <w:bookmarkStart w:id="21" w:name="_GoBack"/>
            <w:bookmarkEnd w:id="21"/>
          </w:p>
          <w:bookmarkEnd w:id="18"/>
          <w:bookmarkEnd w:id="19"/>
          <w:bookmarkEnd w:id="20"/>
          <w:p w:rsidR="00204557" w:rsidRPr="00F758EB" w:rsidRDefault="00897A73" w:rsidP="00897A73">
            <w:pPr>
              <w:autoSpaceDE w:val="0"/>
              <w:autoSpaceDN w:val="0"/>
              <w:adjustRightInd w:val="0"/>
              <w:jc w:val="both"/>
              <w:rPr>
                <w:rFonts w:eastAsia="Calibri"/>
                <w:iCs/>
                <w:color w:val="000000"/>
                <w:lang w:eastAsia="en-US"/>
              </w:rPr>
            </w:pPr>
            <w:r w:rsidRPr="00526EC0">
              <w:t xml:space="preserve">- по Республике Башкортостан  в течение 1-4 рабочих дней </w:t>
            </w:r>
            <w:proofErr w:type="gramStart"/>
            <w:r w:rsidRPr="00526EC0">
              <w:t>с даты получения</w:t>
            </w:r>
            <w:proofErr w:type="gramEnd"/>
            <w:r w:rsidRPr="00526EC0">
              <w:t xml:space="preserve"> заявки от Покупателя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68314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3" w:name="_Ref377141801"/>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4" w:name="_Ref378853535"/>
          </w:p>
        </w:tc>
        <w:bookmarkEnd w:id="2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B280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5" w:name="_2.3._Требования_к"/>
      <w:bookmarkStart w:id="26" w:name="_2.2._Требования_к"/>
      <w:bookmarkStart w:id="27" w:name="_Toc422763652"/>
      <w:bookmarkEnd w:id="25"/>
      <w:bookmarkEnd w:id="26"/>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7"/>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8" w:name="_Ref368314814"/>
          </w:p>
        </w:tc>
        <w:bookmarkEnd w:id="2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9" w:name="_Toc313349949"/>
            <w:bookmarkStart w:id="30" w:name="_Toc313350145"/>
            <w:bookmarkStart w:id="31"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32" w:name="_Toc313349952"/>
            <w:bookmarkStart w:id="33" w:name="_Toc313350148"/>
            <w:bookmarkStart w:id="34" w:name="_Ref320180868"/>
            <w:bookmarkEnd w:id="29"/>
            <w:bookmarkEnd w:id="30"/>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2"/>
            <w:bookmarkEnd w:id="33"/>
            <w:bookmarkEnd w:id="34"/>
          </w:p>
          <w:bookmarkEnd w:id="31"/>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5" w:name="_Toc313349954"/>
            <w:bookmarkStart w:id="36"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5"/>
            <w:bookmarkEnd w:id="36"/>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7" w:name="_Ref314562138"/>
            <w:r w:rsidRPr="005C24A0">
              <w:t xml:space="preserve">2) </w:t>
            </w:r>
            <w:bookmarkEnd w:id="37"/>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B2803">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8" w:name="_Ref313307290"/>
            <w:r w:rsidRPr="005C24A0">
              <w:t xml:space="preserve">3) </w:t>
            </w:r>
            <w:r w:rsidRPr="0091297E">
              <w:t xml:space="preserve">Предложение Претендента в отношении предмета </w:t>
            </w:r>
            <w:bookmarkStart w:id="39"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w:t>
            </w:r>
            <w:r w:rsidR="00225AFD">
              <w:t>и</w:t>
            </w:r>
            <w:r w:rsidR="00A02B2E">
              <w:t>) по форме Приложени</w:t>
            </w:r>
            <w:r w:rsidR="00225AFD">
              <w:t>й</w:t>
            </w:r>
            <w:r w:rsidR="00A02B2E" w:rsidRPr="00A02B2E">
              <w:t xml:space="preserve"> </w:t>
            </w:r>
            <w:r w:rsidR="00225AFD" w:rsidRPr="00897A73">
              <w:rPr>
                <w:b/>
              </w:rPr>
              <w:t>№№  1.2, 1.3, 1.4, 1.5, 1.6</w:t>
            </w:r>
            <w:r w:rsidR="00225AFD">
              <w:t xml:space="preserve"> </w:t>
            </w:r>
            <w:r w:rsidR="00225AFD" w:rsidRPr="00E61607">
              <w:t>к Извещению</w:t>
            </w:r>
            <w:r w:rsidR="00225AFD">
              <w:t xml:space="preserve"> о закупке</w:t>
            </w:r>
            <w:r w:rsidR="00A02B2E">
              <w:t xml:space="preserve"> (</w:t>
            </w:r>
            <w:proofErr w:type="spellStart"/>
            <w:r w:rsidR="00A02B2E">
              <w:t>указанны</w:t>
            </w:r>
            <w:r w:rsidR="00225AFD">
              <w:t>н</w:t>
            </w:r>
            <w:proofErr w:type="spellEnd"/>
            <w:r w:rsidR="00A02B2E">
              <w:t xml:space="preserve"> документ</w:t>
            </w:r>
            <w:r w:rsidR="00225AFD">
              <w:t>ы</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8"/>
            <w:bookmarkEnd w:id="39"/>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7B2803">
              <w:t>12</w:t>
            </w:r>
            <w:r w:rsidR="0014229A" w:rsidRPr="00F0553D">
              <w:fldChar w:fldCharType="end"/>
            </w:r>
            <w:r w:rsidR="0010298F">
              <w:t xml:space="preserve"> настоящей Документации</w:t>
            </w:r>
            <w:proofErr w:type="gramStart"/>
            <w:r w:rsidR="0010298F">
              <w:t xml:space="preserve"> </w:t>
            </w:r>
            <w:r w:rsidR="00144A3C" w:rsidRPr="00F0553D">
              <w:t>.</w:t>
            </w:r>
            <w:proofErr w:type="gramEnd"/>
            <w:r w:rsidR="0014229A" w:rsidRPr="00057935">
              <w:t xml:space="preserve"> </w:t>
            </w:r>
          </w:p>
          <w:p w:rsidR="0014229A" w:rsidRPr="00D52224" w:rsidRDefault="001858AC" w:rsidP="003B25CB">
            <w:pPr>
              <w:ind w:firstLine="486"/>
              <w:jc w:val="both"/>
            </w:pPr>
            <w:bookmarkStart w:id="40"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B2803">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B2803">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40"/>
          </w:p>
          <w:p w:rsidR="0014229A" w:rsidRPr="00CB329F" w:rsidRDefault="0014229A" w:rsidP="003B25CB">
            <w:pPr>
              <w:ind w:firstLine="488"/>
              <w:jc w:val="both"/>
              <w:rPr>
                <w:sz w:val="10"/>
                <w:szCs w:val="10"/>
              </w:rPr>
            </w:pPr>
          </w:p>
          <w:p w:rsidR="0014229A" w:rsidRPr="00F46F0B" w:rsidRDefault="0014229A" w:rsidP="000A2078">
            <w:pPr>
              <w:ind w:firstLine="488"/>
              <w:jc w:val="both"/>
              <w:rPr>
                <w:b/>
              </w:rPr>
            </w:pPr>
            <w:r w:rsidRPr="0017192B">
              <w:t xml:space="preserve">Претендент на участие в </w:t>
            </w:r>
            <w:r>
              <w:t xml:space="preserve">Открытом запросе </w:t>
            </w:r>
            <w:r w:rsidR="000A2078">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w:t>
            </w:r>
            <w:r w:rsidRPr="00344B31">
              <w:lastRenderedPageBreak/>
              <w:t>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w:t>
            </w:r>
            <w:r w:rsidRPr="00A02B2E">
              <w:lastRenderedPageBreak/>
              <w:t xml:space="preserve">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w:t>
            </w:r>
            <w:r w:rsidRPr="00962791">
              <w:rPr>
                <w:bCs/>
              </w:rPr>
              <w:lastRenderedPageBreak/>
              <w:t>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B280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lastRenderedPageBreak/>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B280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3" w:name="_2.3._Условия_заключения"/>
      <w:bookmarkStart w:id="44" w:name="_Toc422763653"/>
      <w:bookmarkEnd w:id="4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5"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6"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7"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Извещение о закупке,</w:t>
      </w:r>
      <w:r w:rsidR="00E90D2C">
        <w:t xml:space="preserve"> </w:t>
      </w:r>
      <w:r w:rsidR="009F7A0A" w:rsidRPr="009F7A0A">
        <w:t>спецификация (Приложение № 1</w:t>
      </w:r>
      <w:r w:rsidR="0010298F">
        <w:t xml:space="preserve"> </w:t>
      </w:r>
      <w:r w:rsidR="009F7A0A" w:rsidRPr="009F7A0A">
        <w:t xml:space="preserve">к </w:t>
      </w:r>
      <w:r w:rsidR="00D250AB" w:rsidRPr="0007277F">
        <w:t>Извещению</w:t>
      </w:r>
      <w:r w:rsidR="00D250AB">
        <w:t xml:space="preserve"> о закупке</w:t>
      </w:r>
      <w:r w:rsidR="009F7A0A" w:rsidRPr="009F7A0A">
        <w:t xml:space="preserve">), проект договора Приложение № 2 к </w:t>
      </w:r>
      <w:r w:rsidR="00D250AB" w:rsidRPr="0007277F">
        <w:t>Извещению</w:t>
      </w:r>
      <w:r w:rsidR="00D250AB">
        <w:t xml:space="preserve"> о закупке</w:t>
      </w:r>
      <w:r w:rsidR="009F7A0A" w:rsidRPr="009F7A0A">
        <w:t xml:space="preserve">), форма заявки на участие в закупке (Приложение № 3 к </w:t>
      </w:r>
      <w:r w:rsidR="00D250AB" w:rsidRPr="0007277F">
        <w:t>Извещению</w:t>
      </w:r>
      <w:r w:rsidR="00D250AB">
        <w:t xml:space="preserve">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250AB" w:rsidRPr="0007277F">
        <w:t>Извещению</w:t>
      </w:r>
      <w:r w:rsidR="00D250AB">
        <w:t xml:space="preserve"> о закупке</w:t>
      </w:r>
      <w:r w:rsidR="009F7A0A" w:rsidRPr="009F7A0A">
        <w:t>), форма запроса на разъяснение документации о закупке (Приложение</w:t>
      </w:r>
      <w:proofErr w:type="gramEnd"/>
      <w:r w:rsidR="009F7A0A" w:rsidRPr="009F7A0A">
        <w:t xml:space="preserve"> № </w:t>
      </w:r>
      <w:proofErr w:type="gramStart"/>
      <w:r w:rsidR="00CD03D5">
        <w:t>5</w:t>
      </w:r>
      <w:r w:rsidR="009F7A0A" w:rsidRPr="009F7A0A">
        <w:t xml:space="preserve"> к </w:t>
      </w:r>
      <w:r w:rsidR="00D250AB" w:rsidRPr="0007277F">
        <w:t>Извещению</w:t>
      </w:r>
      <w:r w:rsidR="00D250AB">
        <w:t xml:space="preserve"> о закупке</w:t>
      </w:r>
      <w:r w:rsidR="009F7A0A" w:rsidRPr="009F7A0A">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6" w:name="_РАЗДЕЛ_III._ФОРМЫ"/>
      <w:bookmarkEnd w:id="46"/>
      <w:r>
        <w:rPr>
          <w:rFonts w:eastAsia="MS Mincho"/>
          <w:lang w:eastAsia="x-none"/>
        </w:rPr>
        <w:t xml:space="preserve"> </w:t>
      </w:r>
    </w:p>
    <w:p w:rsidR="003B25CB" w:rsidRDefault="003B25CB"/>
    <w:sectPr w:rsidR="003B25CB" w:rsidSect="003B25CB">
      <w:headerReference w:type="first" r:id="rId2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8D8" w:rsidRDefault="00D828D8" w:rsidP="0014229A">
      <w:r>
        <w:separator/>
      </w:r>
    </w:p>
  </w:endnote>
  <w:endnote w:type="continuationSeparator" w:id="0">
    <w:p w:rsidR="00D828D8" w:rsidRDefault="00D828D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8D8" w:rsidRDefault="00D828D8" w:rsidP="0014229A">
      <w:r>
        <w:separator/>
      </w:r>
    </w:p>
  </w:footnote>
  <w:footnote w:type="continuationSeparator" w:id="0">
    <w:p w:rsidR="00D828D8" w:rsidRDefault="00D828D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7B2803">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5FC4"/>
    <w:rsid w:val="00073B32"/>
    <w:rsid w:val="00093E9C"/>
    <w:rsid w:val="000A2078"/>
    <w:rsid w:val="000A4ECA"/>
    <w:rsid w:val="000A5E95"/>
    <w:rsid w:val="000B5005"/>
    <w:rsid w:val="000C13FD"/>
    <w:rsid w:val="000D6510"/>
    <w:rsid w:val="000E0120"/>
    <w:rsid w:val="000F4823"/>
    <w:rsid w:val="0010298F"/>
    <w:rsid w:val="0014229A"/>
    <w:rsid w:val="00144A3C"/>
    <w:rsid w:val="00150220"/>
    <w:rsid w:val="00155152"/>
    <w:rsid w:val="00177CD5"/>
    <w:rsid w:val="001858AC"/>
    <w:rsid w:val="001B4383"/>
    <w:rsid w:val="001B7CDD"/>
    <w:rsid w:val="001B7D6B"/>
    <w:rsid w:val="001C03F0"/>
    <w:rsid w:val="00204557"/>
    <w:rsid w:val="00224F07"/>
    <w:rsid w:val="00225AFD"/>
    <w:rsid w:val="002418ED"/>
    <w:rsid w:val="0026485E"/>
    <w:rsid w:val="00294822"/>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A6A6C"/>
    <w:rsid w:val="006B7711"/>
    <w:rsid w:val="006C0CCF"/>
    <w:rsid w:val="006F0B43"/>
    <w:rsid w:val="006F1C74"/>
    <w:rsid w:val="00724F24"/>
    <w:rsid w:val="00733EEC"/>
    <w:rsid w:val="007444B9"/>
    <w:rsid w:val="007510EB"/>
    <w:rsid w:val="007756F2"/>
    <w:rsid w:val="00782831"/>
    <w:rsid w:val="007B2803"/>
    <w:rsid w:val="007E34B5"/>
    <w:rsid w:val="00812D00"/>
    <w:rsid w:val="008239AB"/>
    <w:rsid w:val="0083262D"/>
    <w:rsid w:val="00852B1E"/>
    <w:rsid w:val="008662B0"/>
    <w:rsid w:val="00871F27"/>
    <w:rsid w:val="00877DFC"/>
    <w:rsid w:val="00885C0B"/>
    <w:rsid w:val="00897A73"/>
    <w:rsid w:val="008A40EB"/>
    <w:rsid w:val="008C6A98"/>
    <w:rsid w:val="008D5F3A"/>
    <w:rsid w:val="009566D8"/>
    <w:rsid w:val="0098318C"/>
    <w:rsid w:val="00992571"/>
    <w:rsid w:val="009A662F"/>
    <w:rsid w:val="009C497D"/>
    <w:rsid w:val="009D4E7E"/>
    <w:rsid w:val="009F7A0A"/>
    <w:rsid w:val="00A02B2E"/>
    <w:rsid w:val="00A07823"/>
    <w:rsid w:val="00A27D60"/>
    <w:rsid w:val="00A4553E"/>
    <w:rsid w:val="00A47FAD"/>
    <w:rsid w:val="00A667E3"/>
    <w:rsid w:val="00A766E5"/>
    <w:rsid w:val="00AB0FBA"/>
    <w:rsid w:val="00AC0C1E"/>
    <w:rsid w:val="00AD2C72"/>
    <w:rsid w:val="00AF4C14"/>
    <w:rsid w:val="00B37EB4"/>
    <w:rsid w:val="00BA7B82"/>
    <w:rsid w:val="00C20F72"/>
    <w:rsid w:val="00C327CC"/>
    <w:rsid w:val="00C675FE"/>
    <w:rsid w:val="00C72676"/>
    <w:rsid w:val="00C77202"/>
    <w:rsid w:val="00C86713"/>
    <w:rsid w:val="00C86F9B"/>
    <w:rsid w:val="00C92A83"/>
    <w:rsid w:val="00CD03D5"/>
    <w:rsid w:val="00D24B80"/>
    <w:rsid w:val="00D250AB"/>
    <w:rsid w:val="00D3453E"/>
    <w:rsid w:val="00D4565D"/>
    <w:rsid w:val="00D61729"/>
    <w:rsid w:val="00D828D8"/>
    <w:rsid w:val="00D94587"/>
    <w:rsid w:val="00D97FAB"/>
    <w:rsid w:val="00DB131D"/>
    <w:rsid w:val="00DB2617"/>
    <w:rsid w:val="00DC5A84"/>
    <w:rsid w:val="00DF4CF1"/>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31399"/>
    <w:rsid w:val="00F65720"/>
    <w:rsid w:val="00F758EB"/>
    <w:rsid w:val="00FA2905"/>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f.fattahov@bashte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image" Target="media/image1.wmf"/><Relationship Id="rId28" Type="http://schemas.openxmlformats.org/officeDocument/2006/relationships/header" Target="header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hyperlink" Target="http://www.rostelecom.ru/about/tender/doc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CBB8C-2499-44C3-BEBF-E513731E8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19</Pages>
  <Words>7506</Words>
  <Characters>42786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22</cp:revision>
  <cp:lastPrinted>2015-12-16T06:45:00Z</cp:lastPrinted>
  <dcterms:created xsi:type="dcterms:W3CDTF">2015-10-16T09:47:00Z</dcterms:created>
  <dcterms:modified xsi:type="dcterms:W3CDTF">2015-12-16T06:46:00Z</dcterms:modified>
</cp:coreProperties>
</file>