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Default="00F579C0" w:rsidP="006A7C5D">
      <w:pPr>
        <w:numPr>
          <w:ilvl w:val="0"/>
          <w:numId w:val="18"/>
        </w:numPr>
        <w:rPr>
          <w:b/>
          <w:smallCaps/>
        </w:rPr>
      </w:pPr>
      <w:r>
        <w:rPr>
          <w:b/>
          <w:smallCaps/>
        </w:rPr>
        <w:t>Критерии оценки</w:t>
      </w:r>
      <w:r w:rsidR="00B300E6" w:rsidRPr="00A4788C">
        <w:rPr>
          <w:b/>
          <w:smallCaps/>
        </w:rPr>
        <w:t xml:space="preserve"> заявок на участие в </w:t>
      </w:r>
      <w:r w:rsidR="006F4D6D" w:rsidRPr="006F4D6D">
        <w:rPr>
          <w:b/>
          <w:smallCaps/>
          <w:sz w:val="20"/>
          <w:szCs w:val="20"/>
        </w:rPr>
        <w:t>ЗАПРОСЕ ПРЕДЛОЖЕНИЙ</w:t>
      </w:r>
      <w:r w:rsidR="00B300E6" w:rsidRPr="00A4788C">
        <w:rPr>
          <w:b/>
          <w:smallCaps/>
        </w:rPr>
        <w:t xml:space="preserve"> и их значимость</w:t>
      </w:r>
      <w:bookmarkStart w:id="2" w:name="_GoBack"/>
      <w:bookmarkEnd w:id="2"/>
    </w:p>
    <w:p w:rsidR="004C0CAB" w:rsidRDefault="004C0CAB" w:rsidP="004C0CAB">
      <w:pPr>
        <w:rPr>
          <w:b/>
          <w:smallCaps/>
        </w:rPr>
      </w:pP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5387"/>
        <w:gridCol w:w="2268"/>
      </w:tblGrid>
      <w:tr w:rsidR="004C0CAB" w:rsidRPr="00A4788C" w:rsidTr="007353FE">
        <w:trPr>
          <w:tblHeader/>
        </w:trPr>
        <w:tc>
          <w:tcPr>
            <w:tcW w:w="1417" w:type="dxa"/>
            <w:tcBorders>
              <w:top w:val="single" w:sz="4" w:space="0" w:color="auto"/>
              <w:left w:val="single" w:sz="4" w:space="0" w:color="auto"/>
              <w:bottom w:val="single" w:sz="4" w:space="0" w:color="auto"/>
              <w:right w:val="single" w:sz="4" w:space="0" w:color="auto"/>
            </w:tcBorders>
          </w:tcPr>
          <w:p w:rsidR="004C0CAB" w:rsidRPr="00A4788C" w:rsidRDefault="004C0CAB" w:rsidP="007353FE">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387" w:type="dxa"/>
            <w:tcBorders>
              <w:top w:val="single" w:sz="4" w:space="0" w:color="auto"/>
              <w:left w:val="single" w:sz="4" w:space="0" w:color="auto"/>
              <w:bottom w:val="single" w:sz="4" w:space="0" w:color="auto"/>
              <w:right w:val="single" w:sz="4" w:space="0" w:color="auto"/>
            </w:tcBorders>
            <w:vAlign w:val="center"/>
          </w:tcPr>
          <w:p w:rsidR="004C0CAB" w:rsidRPr="00A4788C" w:rsidRDefault="004C0CAB" w:rsidP="007353FE">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Pr="006F4D6D">
              <w:rPr>
                <w:b/>
                <w:szCs w:val="24"/>
              </w:rPr>
              <w:t>запросе предложений</w:t>
            </w:r>
            <w:r w:rsidRPr="00A4788C">
              <w:rPr>
                <w:b/>
                <w:szCs w:val="24"/>
              </w:rPr>
              <w:t xml:space="preserve"> </w:t>
            </w:r>
          </w:p>
        </w:tc>
        <w:tc>
          <w:tcPr>
            <w:tcW w:w="2268" w:type="dxa"/>
            <w:tcBorders>
              <w:top w:val="single" w:sz="4" w:space="0" w:color="auto"/>
              <w:left w:val="single" w:sz="4" w:space="0" w:color="auto"/>
              <w:bottom w:val="single" w:sz="4" w:space="0" w:color="auto"/>
              <w:right w:val="single" w:sz="4" w:space="0" w:color="auto"/>
            </w:tcBorders>
          </w:tcPr>
          <w:p w:rsidR="004C0CAB" w:rsidRPr="00A4788C" w:rsidRDefault="004C0CAB" w:rsidP="007353FE">
            <w:pPr>
              <w:pStyle w:val="afe"/>
              <w:tabs>
                <w:tab w:val="clear" w:pos="1980"/>
              </w:tabs>
              <w:ind w:left="0" w:firstLine="0"/>
              <w:jc w:val="center"/>
              <w:rPr>
                <w:b/>
                <w:bCs/>
                <w:szCs w:val="24"/>
              </w:rPr>
            </w:pPr>
            <w:r w:rsidRPr="00A4788C">
              <w:rPr>
                <w:b/>
                <w:bCs/>
                <w:szCs w:val="24"/>
              </w:rPr>
              <w:t>Значимость критериев в процентах</w:t>
            </w:r>
          </w:p>
          <w:p w:rsidR="004C0CAB" w:rsidRPr="00A4788C" w:rsidRDefault="004C0CAB" w:rsidP="007353FE">
            <w:pPr>
              <w:pStyle w:val="afe"/>
              <w:tabs>
                <w:tab w:val="clear" w:pos="1980"/>
              </w:tabs>
              <w:ind w:left="0" w:firstLine="0"/>
              <w:jc w:val="center"/>
              <w:rPr>
                <w:b/>
                <w:bCs/>
                <w:szCs w:val="24"/>
              </w:rPr>
            </w:pPr>
            <w:r w:rsidRPr="00A4788C">
              <w:rPr>
                <w:b/>
                <w:bCs/>
                <w:szCs w:val="24"/>
              </w:rPr>
              <w:t>(К)</w:t>
            </w:r>
          </w:p>
        </w:tc>
      </w:tr>
      <w:tr w:rsidR="004C0CAB" w:rsidRPr="00A4788C" w:rsidTr="007353FE">
        <w:trPr>
          <w:trHeight w:val="70"/>
        </w:trPr>
        <w:tc>
          <w:tcPr>
            <w:tcW w:w="1417" w:type="dxa"/>
            <w:tcBorders>
              <w:top w:val="single" w:sz="4" w:space="0" w:color="auto"/>
              <w:left w:val="single" w:sz="4" w:space="0" w:color="auto"/>
              <w:right w:val="single" w:sz="4" w:space="0" w:color="auto"/>
            </w:tcBorders>
          </w:tcPr>
          <w:p w:rsidR="004C0CAB" w:rsidRPr="00A4788C" w:rsidRDefault="008F4B81" w:rsidP="007353FE">
            <w:pPr>
              <w:pStyle w:val="afe"/>
              <w:tabs>
                <w:tab w:val="clear" w:pos="1980"/>
              </w:tabs>
              <w:ind w:left="0" w:firstLine="0"/>
              <w:jc w:val="center"/>
              <w:rPr>
                <w:szCs w:val="24"/>
              </w:rPr>
            </w:pPr>
            <w:r>
              <w:rPr>
                <w:szCs w:val="24"/>
              </w:rPr>
              <w:t>1.</w:t>
            </w:r>
          </w:p>
        </w:tc>
        <w:tc>
          <w:tcPr>
            <w:tcW w:w="5387" w:type="dxa"/>
            <w:tcBorders>
              <w:top w:val="single" w:sz="4" w:space="0" w:color="auto"/>
              <w:left w:val="single" w:sz="4" w:space="0" w:color="auto"/>
              <w:right w:val="single" w:sz="4" w:space="0" w:color="auto"/>
            </w:tcBorders>
          </w:tcPr>
          <w:p w:rsidR="004C0CAB" w:rsidRPr="00AD116B" w:rsidRDefault="008F4B81" w:rsidP="008F4B81">
            <w:pPr>
              <w:pStyle w:val="afe"/>
              <w:tabs>
                <w:tab w:val="clear" w:pos="1980"/>
              </w:tabs>
              <w:ind w:left="0" w:hanging="3"/>
              <w:rPr>
                <w:szCs w:val="24"/>
              </w:rPr>
            </w:pPr>
            <w:r w:rsidRPr="008F4B81">
              <w:rPr>
                <w:szCs w:val="24"/>
              </w:rPr>
              <w:t xml:space="preserve">Коэффициент снижения цены </w:t>
            </w:r>
            <w:r>
              <w:rPr>
                <w:szCs w:val="24"/>
              </w:rPr>
              <w:t>п</w:t>
            </w:r>
            <w:r w:rsidR="004C0CAB">
              <w:rPr>
                <w:szCs w:val="24"/>
              </w:rPr>
              <w:t xml:space="preserve">о </w:t>
            </w:r>
            <w:r>
              <w:rPr>
                <w:szCs w:val="24"/>
              </w:rPr>
              <w:t>Приложению №1.1</w:t>
            </w:r>
          </w:p>
        </w:tc>
        <w:tc>
          <w:tcPr>
            <w:tcW w:w="2268" w:type="dxa"/>
            <w:tcBorders>
              <w:top w:val="single" w:sz="4" w:space="0" w:color="auto"/>
              <w:left w:val="single" w:sz="4" w:space="0" w:color="auto"/>
              <w:right w:val="single" w:sz="4" w:space="0" w:color="auto"/>
            </w:tcBorders>
          </w:tcPr>
          <w:p w:rsidR="004C0CAB" w:rsidRDefault="008F4B81" w:rsidP="007353FE">
            <w:pPr>
              <w:pStyle w:val="afe"/>
              <w:ind w:left="34" w:firstLine="0"/>
              <w:jc w:val="center"/>
              <w:rPr>
                <w:color w:val="000000"/>
                <w:szCs w:val="24"/>
              </w:rPr>
            </w:pPr>
            <w:r>
              <w:rPr>
                <w:color w:val="000000"/>
                <w:szCs w:val="24"/>
              </w:rPr>
              <w:t>50</w:t>
            </w:r>
            <w:r w:rsidR="004C0CAB">
              <w:rPr>
                <w:color w:val="000000"/>
                <w:szCs w:val="24"/>
              </w:rPr>
              <w:t>%</w:t>
            </w:r>
          </w:p>
        </w:tc>
      </w:tr>
      <w:tr w:rsidR="004C0CAB" w:rsidRPr="00A4788C" w:rsidTr="007353FE">
        <w:trPr>
          <w:trHeight w:val="70"/>
        </w:trPr>
        <w:tc>
          <w:tcPr>
            <w:tcW w:w="1417" w:type="dxa"/>
            <w:tcBorders>
              <w:top w:val="single" w:sz="4" w:space="0" w:color="auto"/>
              <w:left w:val="single" w:sz="4" w:space="0" w:color="auto"/>
              <w:right w:val="single" w:sz="4" w:space="0" w:color="auto"/>
            </w:tcBorders>
          </w:tcPr>
          <w:p w:rsidR="004C0CAB" w:rsidRDefault="004C0CAB" w:rsidP="007353FE">
            <w:pPr>
              <w:pStyle w:val="afe"/>
              <w:tabs>
                <w:tab w:val="clear" w:pos="1980"/>
              </w:tabs>
              <w:ind w:left="0" w:firstLine="0"/>
              <w:jc w:val="center"/>
              <w:rPr>
                <w:szCs w:val="24"/>
              </w:rPr>
            </w:pPr>
            <w:r>
              <w:rPr>
                <w:szCs w:val="24"/>
              </w:rPr>
              <w:t>2.</w:t>
            </w:r>
          </w:p>
        </w:tc>
        <w:tc>
          <w:tcPr>
            <w:tcW w:w="5387" w:type="dxa"/>
            <w:tcBorders>
              <w:top w:val="single" w:sz="4" w:space="0" w:color="auto"/>
              <w:left w:val="single" w:sz="4" w:space="0" w:color="auto"/>
              <w:right w:val="single" w:sz="4" w:space="0" w:color="auto"/>
            </w:tcBorders>
          </w:tcPr>
          <w:p w:rsidR="004C0CAB" w:rsidRDefault="008F4B81" w:rsidP="007353FE">
            <w:pPr>
              <w:pStyle w:val="afe"/>
              <w:tabs>
                <w:tab w:val="clear" w:pos="1980"/>
              </w:tabs>
              <w:ind w:left="0" w:hanging="3"/>
              <w:rPr>
                <w:szCs w:val="24"/>
              </w:rPr>
            </w:pPr>
            <w:r w:rsidRPr="008F4B81">
              <w:rPr>
                <w:szCs w:val="24"/>
              </w:rPr>
              <w:t>Коэффициент снижения цены по Приложению №1.</w:t>
            </w:r>
            <w:r>
              <w:rPr>
                <w:szCs w:val="24"/>
              </w:rPr>
              <w:t>2</w:t>
            </w:r>
          </w:p>
        </w:tc>
        <w:tc>
          <w:tcPr>
            <w:tcW w:w="2268" w:type="dxa"/>
            <w:tcBorders>
              <w:top w:val="single" w:sz="4" w:space="0" w:color="auto"/>
              <w:left w:val="single" w:sz="4" w:space="0" w:color="auto"/>
              <w:right w:val="single" w:sz="4" w:space="0" w:color="auto"/>
            </w:tcBorders>
          </w:tcPr>
          <w:p w:rsidR="004C0CAB" w:rsidRDefault="008F4B81" w:rsidP="007353FE">
            <w:pPr>
              <w:jc w:val="center"/>
            </w:pPr>
            <w:r>
              <w:rPr>
                <w:color w:val="000000"/>
              </w:rPr>
              <w:t>47</w:t>
            </w:r>
            <w:r w:rsidR="004C0CAB" w:rsidRPr="00A5050A">
              <w:rPr>
                <w:color w:val="000000"/>
              </w:rPr>
              <w:t>%</w:t>
            </w:r>
          </w:p>
        </w:tc>
      </w:tr>
      <w:tr w:rsidR="004C0CAB" w:rsidRPr="00A4788C" w:rsidTr="007353FE">
        <w:trPr>
          <w:trHeight w:val="70"/>
        </w:trPr>
        <w:tc>
          <w:tcPr>
            <w:tcW w:w="1417" w:type="dxa"/>
            <w:tcBorders>
              <w:top w:val="single" w:sz="4" w:space="0" w:color="auto"/>
              <w:left w:val="single" w:sz="4" w:space="0" w:color="auto"/>
              <w:right w:val="single" w:sz="4" w:space="0" w:color="auto"/>
            </w:tcBorders>
          </w:tcPr>
          <w:p w:rsidR="004C0CAB" w:rsidRDefault="008F4B81" w:rsidP="007353FE">
            <w:pPr>
              <w:pStyle w:val="afe"/>
              <w:tabs>
                <w:tab w:val="clear" w:pos="1980"/>
              </w:tabs>
              <w:ind w:left="0" w:firstLine="0"/>
              <w:jc w:val="center"/>
              <w:rPr>
                <w:szCs w:val="24"/>
              </w:rPr>
            </w:pPr>
            <w:r>
              <w:rPr>
                <w:szCs w:val="24"/>
              </w:rPr>
              <w:t>3</w:t>
            </w:r>
            <w:r w:rsidR="004C0CAB">
              <w:rPr>
                <w:szCs w:val="24"/>
              </w:rPr>
              <w:t>.</w:t>
            </w:r>
          </w:p>
        </w:tc>
        <w:tc>
          <w:tcPr>
            <w:tcW w:w="5387" w:type="dxa"/>
            <w:tcBorders>
              <w:top w:val="single" w:sz="4" w:space="0" w:color="auto"/>
              <w:left w:val="single" w:sz="4" w:space="0" w:color="auto"/>
              <w:right w:val="single" w:sz="4" w:space="0" w:color="auto"/>
            </w:tcBorders>
          </w:tcPr>
          <w:p w:rsidR="004C0CAB" w:rsidRPr="00103C0D" w:rsidRDefault="008F4B81" w:rsidP="007353FE">
            <w:r w:rsidRPr="008F4B81">
              <w:t>Согласие претендента на условие оплаты по договору в течение 60 календарных дней с момента подписания сторонами накладной</w:t>
            </w:r>
          </w:p>
        </w:tc>
        <w:tc>
          <w:tcPr>
            <w:tcW w:w="2268" w:type="dxa"/>
            <w:tcBorders>
              <w:top w:val="single" w:sz="4" w:space="0" w:color="auto"/>
              <w:left w:val="single" w:sz="4" w:space="0" w:color="auto"/>
              <w:right w:val="single" w:sz="4" w:space="0" w:color="auto"/>
            </w:tcBorders>
          </w:tcPr>
          <w:p w:rsidR="004C0CAB" w:rsidRDefault="008F4B81" w:rsidP="007353FE">
            <w:pPr>
              <w:jc w:val="center"/>
              <w:rPr>
                <w:color w:val="000000"/>
              </w:rPr>
            </w:pPr>
            <w:r>
              <w:rPr>
                <w:color w:val="000000"/>
              </w:rPr>
              <w:t>3</w:t>
            </w:r>
            <w:r w:rsidR="004C0CAB">
              <w:rPr>
                <w:color w:val="000000"/>
              </w:rPr>
              <w:t>%</w:t>
            </w:r>
          </w:p>
        </w:tc>
      </w:tr>
      <w:tr w:rsidR="004C0CAB" w:rsidRPr="00A4788C" w:rsidTr="007353FE">
        <w:tc>
          <w:tcPr>
            <w:tcW w:w="6804" w:type="dxa"/>
            <w:gridSpan w:val="2"/>
            <w:tcBorders>
              <w:top w:val="single" w:sz="4" w:space="0" w:color="auto"/>
              <w:left w:val="single" w:sz="4" w:space="0" w:color="auto"/>
              <w:bottom w:val="single" w:sz="4" w:space="0" w:color="auto"/>
              <w:right w:val="single" w:sz="4" w:space="0" w:color="auto"/>
            </w:tcBorders>
          </w:tcPr>
          <w:p w:rsidR="004C0CAB" w:rsidRPr="00A4788C" w:rsidRDefault="004C0CAB" w:rsidP="007353FE">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268" w:type="dxa"/>
            <w:tcBorders>
              <w:top w:val="single" w:sz="4" w:space="0" w:color="auto"/>
              <w:left w:val="single" w:sz="4" w:space="0" w:color="auto"/>
              <w:bottom w:val="single" w:sz="4" w:space="0" w:color="auto"/>
              <w:right w:val="single" w:sz="4" w:space="0" w:color="auto"/>
            </w:tcBorders>
          </w:tcPr>
          <w:p w:rsidR="004C0CAB" w:rsidRPr="00A4788C" w:rsidRDefault="004C0CAB" w:rsidP="007353FE">
            <w:pPr>
              <w:pStyle w:val="afe"/>
              <w:tabs>
                <w:tab w:val="clear" w:pos="1980"/>
              </w:tabs>
              <w:ind w:left="0" w:firstLine="0"/>
              <w:jc w:val="center"/>
              <w:rPr>
                <w:b/>
                <w:szCs w:val="24"/>
              </w:rPr>
            </w:pPr>
            <w:r w:rsidRPr="00A4788C">
              <w:rPr>
                <w:b/>
                <w:szCs w:val="24"/>
              </w:rPr>
              <w:t>100%</w:t>
            </w:r>
          </w:p>
        </w:tc>
      </w:tr>
    </w:tbl>
    <w:p w:rsidR="00562366" w:rsidRDefault="00562366" w:rsidP="006A7C5D">
      <w:pPr>
        <w:rPr>
          <w:b/>
          <w:smallCaps/>
        </w:rPr>
      </w:pPr>
    </w:p>
    <w:p w:rsidR="00FD0470" w:rsidRDefault="00FD0470" w:rsidP="00FD0470">
      <w:pPr>
        <w:ind w:firstLine="567"/>
        <w:jc w:val="both"/>
      </w:pPr>
      <w:r>
        <w:t>Пример:</w:t>
      </w:r>
    </w:p>
    <w:p w:rsidR="00FD0470" w:rsidRDefault="00FD0470" w:rsidP="00FD0470">
      <w:pPr>
        <w:ind w:firstLine="567"/>
        <w:jc w:val="both"/>
      </w:pPr>
    </w:p>
    <w:p w:rsidR="00FD0470" w:rsidRDefault="00FD0470" w:rsidP="00FD0470">
      <w:pPr>
        <w:jc w:val="both"/>
      </w:pPr>
      <w:r>
        <w:t xml:space="preserve">Цена за единицу товара, </w:t>
      </w:r>
      <w:r>
        <w:tab/>
      </w:r>
      <w:r>
        <w:tab/>
        <w:t>Предложение претендента</w:t>
      </w:r>
      <w:r>
        <w:tab/>
      </w:r>
      <w:r>
        <w:tab/>
      </w:r>
      <w:r>
        <w:tab/>
        <w:t xml:space="preserve">Цена </w:t>
      </w:r>
    </w:p>
    <w:p w:rsidR="00FD0470" w:rsidRPr="006933B9" w:rsidRDefault="00FD0470" w:rsidP="00FD0470">
      <w:pPr>
        <w:jc w:val="both"/>
      </w:pPr>
      <w:r>
        <w:t xml:space="preserve">по прейскуранту цен              Х        о коэффициенте </w:t>
      </w:r>
      <w:r w:rsidRPr="006933B9">
        <w:t xml:space="preserve">снижения цены   = </w:t>
      </w:r>
      <w:r w:rsidRPr="006933B9">
        <w:tab/>
        <w:t>претендента</w:t>
      </w:r>
    </w:p>
    <w:p w:rsidR="00FD0470" w:rsidRDefault="00FD0470" w:rsidP="00FD0470">
      <w:pPr>
        <w:ind w:firstLine="567"/>
        <w:jc w:val="both"/>
      </w:pPr>
      <w:r>
        <w:tab/>
      </w:r>
      <w:r>
        <w:tab/>
      </w:r>
      <w:r>
        <w:tab/>
      </w:r>
      <w:r>
        <w:tab/>
      </w:r>
      <w:r>
        <w:tab/>
      </w:r>
      <w:r>
        <w:tab/>
      </w:r>
      <w:r>
        <w:rPr>
          <w:b/>
        </w:rPr>
        <w:t>(меньше 1,0)</w:t>
      </w:r>
    </w:p>
    <w:p w:rsidR="00FD0470" w:rsidRPr="00A4788C" w:rsidRDefault="00FD0470" w:rsidP="00FD0470">
      <w:pPr>
        <w:ind w:firstLine="567"/>
        <w:jc w:val="both"/>
        <w:rPr>
          <w:color w:val="000000"/>
        </w:rPr>
      </w:pPr>
    </w:p>
    <w:p w:rsidR="00FD0470" w:rsidRDefault="00FD0470" w:rsidP="00FD0470">
      <w:pPr>
        <w:jc w:val="both"/>
        <w:rPr>
          <w:color w:val="000000"/>
        </w:rPr>
      </w:pPr>
    </w:p>
    <w:p w:rsidR="00FD0470" w:rsidRPr="00A4788C" w:rsidRDefault="008F4B81" w:rsidP="00FD0470">
      <w:pPr>
        <w:jc w:val="both"/>
        <w:rPr>
          <w:color w:val="000000"/>
        </w:rPr>
      </w:pPr>
      <w:r w:rsidRPr="008F4B81">
        <w:rPr>
          <w:color w:val="000000"/>
        </w:rPr>
        <w:t>Барабан тормозной 3302</w:t>
      </w:r>
      <w:r w:rsidR="00FD0470">
        <w:rPr>
          <w:color w:val="000000"/>
        </w:rPr>
        <w:t xml:space="preserve">    </w:t>
      </w:r>
      <w:r>
        <w:rPr>
          <w:color w:val="000000"/>
        </w:rPr>
        <w:t>1490,47</w:t>
      </w:r>
      <w:r w:rsidR="00FD0470">
        <w:rPr>
          <w:color w:val="000000"/>
        </w:rPr>
        <w:t xml:space="preserve"> руб.</w:t>
      </w:r>
      <w:r w:rsidR="00FD0470">
        <w:rPr>
          <w:color w:val="000000"/>
        </w:rPr>
        <w:tab/>
      </w:r>
      <w:r>
        <w:rPr>
          <w:color w:val="000000"/>
        </w:rPr>
        <w:t xml:space="preserve">      Х       0,98</w:t>
      </w:r>
      <w:r w:rsidR="00FD0470">
        <w:rPr>
          <w:color w:val="000000"/>
        </w:rPr>
        <w:t xml:space="preserve">         =          </w:t>
      </w:r>
      <w:r>
        <w:rPr>
          <w:color w:val="000000"/>
        </w:rPr>
        <w:t>1460,66</w:t>
      </w:r>
      <w:r w:rsidR="00FD0470">
        <w:rPr>
          <w:color w:val="000000"/>
        </w:rPr>
        <w:t xml:space="preserve"> руб.</w:t>
      </w:r>
    </w:p>
    <w:p w:rsidR="00FD0470" w:rsidRDefault="00FD0470" w:rsidP="006A7C5D">
      <w:pPr>
        <w:rPr>
          <w:b/>
          <w:smallCaps/>
        </w:rPr>
      </w:pPr>
    </w:p>
    <w:p w:rsidR="00FD0470" w:rsidRDefault="00FD0470" w:rsidP="006A7C5D">
      <w:pPr>
        <w:rPr>
          <w:b/>
          <w:smallCaps/>
        </w:rPr>
      </w:pPr>
    </w:p>
    <w:p w:rsidR="00FD0470" w:rsidRPr="00A4788C" w:rsidRDefault="00FD0470"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8F4B81">
        <w:rPr>
          <w:b/>
        </w:rPr>
        <w:t>Описание критериев</w:t>
      </w:r>
    </w:p>
    <w:p w:rsidR="00904D3C" w:rsidRDefault="00904D3C" w:rsidP="006A7C5D">
      <w:pPr>
        <w:ind w:left="360"/>
        <w:rPr>
          <w:b/>
        </w:rPr>
      </w:pPr>
    </w:p>
    <w:p w:rsidR="00904D3C" w:rsidRPr="001E5AFA" w:rsidRDefault="0047697C" w:rsidP="001E5AFA">
      <w:pPr>
        <w:pStyle w:val="afe"/>
        <w:tabs>
          <w:tab w:val="clear" w:pos="1980"/>
        </w:tabs>
        <w:ind w:left="0" w:hanging="3"/>
        <w:jc w:val="left"/>
        <w:rPr>
          <w:szCs w:val="24"/>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F2681A">
        <w:rPr>
          <w:b/>
        </w:rPr>
        <w:t>Величина коэффициента снижения цены</w:t>
      </w:r>
      <w:r w:rsidR="00B300E6" w:rsidRPr="007825DD">
        <w:rPr>
          <w:b/>
        </w:rPr>
        <w:t>»</w:t>
      </w:r>
      <w:r w:rsidR="00B300E6" w:rsidRPr="00A4788C">
        <w:rPr>
          <w:b/>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393"/>
        <w:gridCol w:w="5386"/>
      </w:tblGrid>
      <w:tr w:rsidR="00B300E6" w:rsidRPr="00A4788C" w:rsidTr="001E5AFA">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39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изменения</w:t>
            </w:r>
          </w:p>
        </w:tc>
        <w:tc>
          <w:tcPr>
            <w:tcW w:w="5386"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74BA4" w:rsidRPr="00A4788C" w:rsidTr="001E5AFA">
        <w:trPr>
          <w:trHeight w:val="70"/>
        </w:trPr>
        <w:tc>
          <w:tcPr>
            <w:tcW w:w="2002" w:type="dxa"/>
            <w:tcBorders>
              <w:top w:val="single" w:sz="4" w:space="0" w:color="auto"/>
              <w:left w:val="single" w:sz="4" w:space="0" w:color="auto"/>
              <w:right w:val="single" w:sz="4" w:space="0" w:color="auto"/>
            </w:tcBorders>
          </w:tcPr>
          <w:p w:rsidR="00B74BA4" w:rsidRPr="00AD116B" w:rsidRDefault="00F2681A" w:rsidP="0039099E">
            <w:pPr>
              <w:pStyle w:val="afe"/>
              <w:tabs>
                <w:tab w:val="clear" w:pos="1980"/>
              </w:tabs>
              <w:ind w:left="0" w:hanging="3"/>
              <w:rPr>
                <w:szCs w:val="24"/>
              </w:rPr>
            </w:pPr>
            <w:r>
              <w:rPr>
                <w:b/>
              </w:rPr>
              <w:t>Коэффициент снижения цены</w:t>
            </w:r>
          </w:p>
        </w:tc>
        <w:tc>
          <w:tcPr>
            <w:tcW w:w="2393" w:type="dxa"/>
            <w:tcBorders>
              <w:top w:val="single" w:sz="4" w:space="0" w:color="auto"/>
              <w:left w:val="single" w:sz="4" w:space="0" w:color="auto"/>
              <w:right w:val="single" w:sz="4" w:space="0" w:color="auto"/>
            </w:tcBorders>
          </w:tcPr>
          <w:p w:rsidR="00B74BA4" w:rsidRDefault="00D5571F" w:rsidP="006A7C5D">
            <w:pPr>
              <w:pStyle w:val="aff2"/>
              <w:spacing w:before="0" w:beforeAutospacing="0" w:after="0" w:afterAutospacing="0"/>
            </w:pPr>
            <w:r>
              <w:t>К</w:t>
            </w:r>
            <w:r w:rsidR="00F2681A">
              <w:t>оэффициент</w:t>
            </w:r>
          </w:p>
          <w:p w:rsidR="00D5571F" w:rsidRPr="00A4788C" w:rsidRDefault="00D5571F" w:rsidP="006A7C5D">
            <w:pPr>
              <w:pStyle w:val="aff2"/>
              <w:spacing w:before="0" w:beforeAutospacing="0" w:after="0" w:afterAutospacing="0"/>
            </w:pPr>
            <w:r>
              <w:rPr>
                <w:b/>
              </w:rPr>
              <w:t>(меньше 1,0)</w:t>
            </w:r>
          </w:p>
        </w:tc>
        <w:tc>
          <w:tcPr>
            <w:tcW w:w="5386" w:type="dxa"/>
            <w:tcBorders>
              <w:top w:val="single" w:sz="4" w:space="0" w:color="auto"/>
              <w:left w:val="single" w:sz="4" w:space="0" w:color="auto"/>
              <w:right w:val="single" w:sz="4" w:space="0" w:color="auto"/>
            </w:tcBorders>
          </w:tcPr>
          <w:p w:rsidR="00B74BA4" w:rsidRPr="00A4788C" w:rsidRDefault="00B74BA4" w:rsidP="005F1916">
            <w:r w:rsidRPr="00A4788C">
              <w:t xml:space="preserve">Оценивается </w:t>
            </w:r>
            <w:r w:rsidR="00F2681A">
              <w:t>коэффициент снижения цены</w:t>
            </w:r>
            <w:r w:rsidRPr="0039099E">
              <w:t xml:space="preserve">, предложенной участником запроса предложений в его заявке на участие в запросе предложений, </w:t>
            </w:r>
            <w:r w:rsidR="00F2681A">
              <w:t xml:space="preserve">к начальной (максимальной) цене </w:t>
            </w:r>
            <w:r w:rsidR="005F1916">
              <w:t xml:space="preserve">по прейскуранту </w:t>
            </w:r>
            <w:r w:rsidR="00F2681A">
              <w:t>установленной</w:t>
            </w:r>
            <w:r w:rsidRPr="0039099E">
              <w:t xml:space="preserve"> в извещении о проведении запроса предложений и </w:t>
            </w:r>
            <w:r w:rsidRPr="0039099E">
              <w:rPr>
                <w:bCs/>
              </w:rPr>
              <w:t xml:space="preserve">Документации о </w:t>
            </w:r>
            <w:r w:rsidRPr="0039099E">
              <w:t xml:space="preserve">запросе предложений </w:t>
            </w:r>
          </w:p>
        </w:tc>
      </w:tr>
    </w:tbl>
    <w:p w:rsidR="009D1788" w:rsidRDefault="009D1788" w:rsidP="006A7C5D">
      <w:pPr>
        <w:ind w:left="357"/>
        <w:rPr>
          <w:b/>
        </w:rPr>
      </w:pPr>
    </w:p>
    <w:p w:rsidR="004C0CAB" w:rsidRDefault="004C0CAB" w:rsidP="006A7C5D">
      <w:pPr>
        <w:rPr>
          <w:b/>
        </w:rPr>
      </w:pPr>
      <w:r>
        <w:rPr>
          <w:b/>
        </w:rPr>
        <w:t xml:space="preserve">2.2. </w:t>
      </w:r>
      <w:r w:rsidRPr="00A4788C">
        <w:rPr>
          <w:b/>
        </w:rPr>
        <w:t xml:space="preserve">Критерий </w:t>
      </w:r>
      <w:r w:rsidRPr="004C0CAB">
        <w:rPr>
          <w:b/>
        </w:rPr>
        <w:t>«</w:t>
      </w:r>
      <w:r w:rsidR="001E5AFA" w:rsidRPr="001E5AFA">
        <w:rPr>
          <w:b/>
        </w:rPr>
        <w:t>Согласие претендента на условие оплаты по договору в течение 60 календарных дней с момента подписания сторонами накладной</w:t>
      </w:r>
      <w:r w:rsidRPr="004C0CAB">
        <w:rPr>
          <w:b/>
        </w:rPr>
        <w:t>»</w:t>
      </w: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4523"/>
        <w:gridCol w:w="4536"/>
      </w:tblGrid>
      <w:tr w:rsidR="001E5AFA" w:rsidRPr="00A4788C" w:rsidTr="001E5AFA">
        <w:trPr>
          <w:tblHeader/>
        </w:trPr>
        <w:tc>
          <w:tcPr>
            <w:tcW w:w="580" w:type="dxa"/>
            <w:vAlign w:val="center"/>
          </w:tcPr>
          <w:p w:rsidR="001E5AFA" w:rsidRPr="00A4788C" w:rsidRDefault="001E5AFA" w:rsidP="007353FE">
            <w:pPr>
              <w:keepNext/>
              <w:autoSpaceDE w:val="0"/>
              <w:autoSpaceDN w:val="0"/>
              <w:adjustRightInd w:val="0"/>
              <w:jc w:val="center"/>
              <w:rPr>
                <w:b/>
              </w:rPr>
            </w:pPr>
            <w:r w:rsidRPr="00A4788C">
              <w:rPr>
                <w:b/>
              </w:rPr>
              <w:t>№ п</w:t>
            </w:r>
            <w:r w:rsidRPr="00A4788C">
              <w:rPr>
                <w:b/>
                <w:lang w:val="en-US"/>
              </w:rPr>
              <w:t>/</w:t>
            </w:r>
            <w:r w:rsidRPr="00A4788C">
              <w:rPr>
                <w:b/>
              </w:rPr>
              <w:t>п</w:t>
            </w:r>
          </w:p>
        </w:tc>
        <w:tc>
          <w:tcPr>
            <w:tcW w:w="4523" w:type="dxa"/>
          </w:tcPr>
          <w:p w:rsidR="001E5AFA" w:rsidRPr="00A4788C" w:rsidRDefault="001E5AFA" w:rsidP="001E5AFA">
            <w:pPr>
              <w:keepNext/>
              <w:autoSpaceDE w:val="0"/>
              <w:autoSpaceDN w:val="0"/>
              <w:adjustRightInd w:val="0"/>
              <w:jc w:val="center"/>
              <w:rPr>
                <w:b/>
              </w:rPr>
            </w:pPr>
            <w:r w:rsidRPr="00A4788C">
              <w:rPr>
                <w:b/>
              </w:rPr>
              <w:t>Предмет оценки</w:t>
            </w:r>
          </w:p>
        </w:tc>
        <w:tc>
          <w:tcPr>
            <w:tcW w:w="4536" w:type="dxa"/>
          </w:tcPr>
          <w:p w:rsidR="001E5AFA" w:rsidRPr="00A4788C" w:rsidRDefault="001E5AFA" w:rsidP="007353FE">
            <w:pPr>
              <w:keepNext/>
              <w:autoSpaceDE w:val="0"/>
              <w:autoSpaceDN w:val="0"/>
              <w:adjustRightInd w:val="0"/>
              <w:jc w:val="center"/>
              <w:rPr>
                <w:b/>
              </w:rPr>
            </w:pPr>
            <w:r w:rsidRPr="002C22C8">
              <w:rPr>
                <w:b/>
              </w:rPr>
              <w:t>Требования к описанию</w:t>
            </w:r>
            <w:r w:rsidRPr="00A4788C">
              <w:rPr>
                <w:b/>
              </w:rPr>
              <w:t xml:space="preserve"> критерия</w:t>
            </w:r>
          </w:p>
        </w:tc>
      </w:tr>
      <w:tr w:rsidR="001E5AFA" w:rsidRPr="00A4788C" w:rsidTr="001E5AFA">
        <w:trPr>
          <w:trHeight w:val="888"/>
        </w:trPr>
        <w:tc>
          <w:tcPr>
            <w:tcW w:w="580" w:type="dxa"/>
          </w:tcPr>
          <w:p w:rsidR="001E5AFA" w:rsidRDefault="001E5AFA" w:rsidP="007353FE">
            <w:pPr>
              <w:autoSpaceDE w:val="0"/>
              <w:autoSpaceDN w:val="0"/>
              <w:adjustRightInd w:val="0"/>
              <w:jc w:val="center"/>
            </w:pPr>
            <w:r>
              <w:t>1</w:t>
            </w:r>
          </w:p>
        </w:tc>
        <w:tc>
          <w:tcPr>
            <w:tcW w:w="4523" w:type="dxa"/>
          </w:tcPr>
          <w:p w:rsidR="001E5AFA" w:rsidRPr="0008209A" w:rsidRDefault="001E5AFA" w:rsidP="007353FE">
            <w:pPr>
              <w:pStyle w:val="afe"/>
              <w:tabs>
                <w:tab w:val="clear" w:pos="1980"/>
                <w:tab w:val="left" w:pos="851"/>
              </w:tabs>
              <w:ind w:left="0" w:firstLine="0"/>
              <w:rPr>
                <w:szCs w:val="24"/>
              </w:rPr>
            </w:pPr>
            <w:r w:rsidRPr="001E5AFA">
              <w:t>Согласие претендента на условие оплаты по договору в течение 60 календарных дней с момента подписания сторонами накладной</w:t>
            </w:r>
          </w:p>
        </w:tc>
        <w:tc>
          <w:tcPr>
            <w:tcW w:w="4536" w:type="dxa"/>
          </w:tcPr>
          <w:p w:rsidR="001E5AFA" w:rsidRDefault="001E5AFA" w:rsidP="001E5AFA">
            <w:pPr>
              <w:pStyle w:val="afe"/>
              <w:tabs>
                <w:tab w:val="clear" w:pos="1980"/>
              </w:tabs>
              <w:ind w:left="34" w:firstLine="0"/>
              <w:rPr>
                <w:szCs w:val="24"/>
              </w:rPr>
            </w:pPr>
            <w:r w:rsidRPr="001E5AFA">
              <w:rPr>
                <w:szCs w:val="24"/>
              </w:rPr>
              <w:t>Оценивается согласие претендента на дополнительное увеличение срока оплаты, установленного закупочной документацией, на 30 календарных дней</w:t>
            </w:r>
          </w:p>
        </w:tc>
      </w:tr>
    </w:tbl>
    <w:p w:rsidR="004C0CAB" w:rsidRPr="00A4788C" w:rsidRDefault="004C0CAB"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xml:space="preserve"> осуществляется расчет итогового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xml:space="preserve">. Итоговый рейтинг заявки рассчитывается путем сложения рейтингов по каждому критерию оценки заявки, установленному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 xml:space="preserve">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 xml:space="preserve">Присуждение каждой заявке порядкового номера по мере уменьшения степени </w:t>
      </w:r>
      <w:proofErr w:type="gramStart"/>
      <w:r w:rsidRPr="00A4788C">
        <w:t>выгодности</w:t>
      </w:r>
      <w:proofErr w:type="gramEnd"/>
      <w:r w:rsidRPr="00A4788C">
        <w:t xml:space="preserve"> содержащихся в ней условий исполнения </w:t>
      </w:r>
      <w:r w:rsidR="00E729A3">
        <w:t>договора</w:t>
      </w:r>
      <w:r w:rsidRPr="00A4788C">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3" w:name="_Toc518119388"/>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5F1916">
        <w:rPr>
          <w:b/>
        </w:rPr>
        <w:t>Величина коэффициента снижения цены</w:t>
      </w:r>
      <w:r w:rsidR="00F3039C" w:rsidRPr="0039099E">
        <w:t>»,</w:t>
      </w:r>
      <w:r w:rsidR="00F3039C" w:rsidRPr="00A4788C">
        <w:t xml:space="preserve"> определяется по формуле:</w:t>
      </w:r>
    </w:p>
    <w:p w:rsidR="00F95D37" w:rsidRPr="00A4788C" w:rsidRDefault="00F95D37" w:rsidP="00F95D37">
      <w:pPr>
        <w:keepNext/>
        <w:jc w:val="both"/>
      </w:pPr>
    </w:p>
    <w:p w:rsidR="00F95D37" w:rsidRPr="00A4788C" w:rsidRDefault="00F95D37" w:rsidP="00F95D37">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03486901" r:id="rId9"/>
        </w:object>
      </w:r>
      <w:r w:rsidRPr="00A4788C">
        <w:t>,</w:t>
      </w:r>
    </w:p>
    <w:p w:rsidR="00F95D37" w:rsidRPr="00A4788C" w:rsidRDefault="00F95D37" w:rsidP="00F95D37">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95D37" w:rsidRPr="00F95D37" w:rsidRDefault="00F95D37" w:rsidP="00F95D37">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рейтинг, присуждаемый i</w:t>
      </w:r>
      <w:r w:rsidRPr="00F95D37">
        <w:rPr>
          <w:rFonts w:ascii="Times New Roman" w:hAnsi="Times New Roman" w:cs="Times New Roman"/>
          <w:sz w:val="24"/>
          <w:szCs w:val="24"/>
        </w:rPr>
        <w:t>-й заявке по указанному критерию;</w:t>
      </w:r>
    </w:p>
    <w:p w:rsidR="00F95D37" w:rsidRPr="00F95D37" w:rsidRDefault="00F95D37" w:rsidP="00F95D37">
      <w:pPr>
        <w:pStyle w:val="ConsPlusNonformat"/>
        <w:widowControl/>
        <w:ind w:right="-125" w:firstLine="600"/>
        <w:jc w:val="both"/>
        <w:rPr>
          <w:rFonts w:ascii="Times New Roman" w:hAnsi="Times New Roman" w:cs="Times New Roman"/>
          <w:sz w:val="24"/>
          <w:szCs w:val="24"/>
        </w:rPr>
      </w:pPr>
      <w:proofErr w:type="spellStart"/>
      <w:r w:rsidRPr="00F95D37">
        <w:rPr>
          <w:rFonts w:ascii="Times New Roman" w:hAnsi="Times New Roman" w:cs="Times New Roman"/>
          <w:sz w:val="24"/>
          <w:szCs w:val="24"/>
        </w:rPr>
        <w:t>A</w:t>
      </w:r>
      <w:r w:rsidRPr="00F95D37">
        <w:rPr>
          <w:rFonts w:ascii="Times New Roman" w:hAnsi="Times New Roman" w:cs="Times New Roman"/>
          <w:sz w:val="24"/>
          <w:szCs w:val="24"/>
          <w:vertAlign w:val="subscript"/>
        </w:rPr>
        <w:t>min</w:t>
      </w:r>
      <w:proofErr w:type="spellEnd"/>
      <w:r w:rsidRPr="00F95D37">
        <w:rPr>
          <w:rFonts w:ascii="Times New Roman" w:hAnsi="Times New Roman" w:cs="Times New Roman"/>
          <w:sz w:val="24"/>
          <w:szCs w:val="24"/>
        </w:rPr>
        <w:t xml:space="preserve">–минимальное предложение участника запроса предложений по </w:t>
      </w:r>
      <w:r w:rsidRPr="00D5571F">
        <w:rPr>
          <w:rFonts w:ascii="Times New Roman" w:hAnsi="Times New Roman" w:cs="Times New Roman"/>
          <w:sz w:val="24"/>
          <w:szCs w:val="24"/>
        </w:rPr>
        <w:t>критерию «</w:t>
      </w:r>
      <w:r w:rsidR="00BC70A5" w:rsidRPr="00D5571F">
        <w:rPr>
          <w:rFonts w:ascii="Times New Roman" w:hAnsi="Times New Roman" w:cs="Times New Roman"/>
          <w:b/>
          <w:sz w:val="24"/>
          <w:szCs w:val="24"/>
        </w:rPr>
        <w:t>Величина коэффициента снижения цены</w:t>
      </w:r>
      <w:r w:rsidRPr="00D5571F">
        <w:rPr>
          <w:rFonts w:ascii="Times New Roman" w:hAnsi="Times New Roman" w:cs="Times New Roman"/>
          <w:sz w:val="24"/>
          <w:szCs w:val="24"/>
        </w:rPr>
        <w:t>», указанное в заявке на участие в запросе предложений из представленных участниками процедуры запроса предложений, приведенное к единому</w:t>
      </w:r>
      <w:r w:rsidRPr="00F95D37">
        <w:rPr>
          <w:rFonts w:ascii="Times New Roman" w:hAnsi="Times New Roman" w:cs="Times New Roman"/>
          <w:sz w:val="24"/>
          <w:szCs w:val="24"/>
        </w:rPr>
        <w:t xml:space="preserve"> базису сравнения предложений;</w:t>
      </w:r>
    </w:p>
    <w:p w:rsidR="00F95D37" w:rsidRPr="00F95D37" w:rsidRDefault="00F95D37" w:rsidP="00F95D37">
      <w:pPr>
        <w:pStyle w:val="ConsPlusNonformat"/>
        <w:widowControl/>
        <w:ind w:firstLine="600"/>
        <w:rPr>
          <w:rFonts w:ascii="Times New Roman" w:hAnsi="Times New Roman" w:cs="Times New Roman"/>
          <w:sz w:val="24"/>
          <w:szCs w:val="24"/>
        </w:rPr>
      </w:pPr>
      <w:proofErr w:type="spellStart"/>
      <w:r w:rsidRPr="00F95D37">
        <w:rPr>
          <w:rFonts w:ascii="Times New Roman" w:hAnsi="Times New Roman" w:cs="Times New Roman"/>
          <w:sz w:val="24"/>
          <w:szCs w:val="24"/>
        </w:rPr>
        <w:t>A</w:t>
      </w:r>
      <w:r w:rsidRPr="00F95D37">
        <w:rPr>
          <w:rFonts w:ascii="Times New Roman" w:hAnsi="Times New Roman" w:cs="Times New Roman"/>
          <w:sz w:val="24"/>
          <w:szCs w:val="24"/>
          <w:vertAlign w:val="subscript"/>
        </w:rPr>
        <w:t>i</w:t>
      </w:r>
      <w:proofErr w:type="spellEnd"/>
      <w:r w:rsidRPr="00F95D37">
        <w:rPr>
          <w:rFonts w:ascii="Times New Roman" w:hAnsi="Times New Roman" w:cs="Times New Roman"/>
          <w:sz w:val="24"/>
          <w:szCs w:val="24"/>
        </w:rPr>
        <w:t xml:space="preserve"> -  </w:t>
      </w:r>
      <w:proofErr w:type="gramStart"/>
      <w:r w:rsidRPr="00F95D37">
        <w:rPr>
          <w:rFonts w:ascii="Times New Roman" w:hAnsi="Times New Roman" w:cs="Times New Roman"/>
          <w:sz w:val="24"/>
          <w:szCs w:val="24"/>
        </w:rPr>
        <w:t>предложение  i</w:t>
      </w:r>
      <w:proofErr w:type="gramEnd"/>
      <w:r w:rsidRPr="00F95D37">
        <w:rPr>
          <w:rFonts w:ascii="Times New Roman" w:hAnsi="Times New Roman" w:cs="Times New Roman"/>
          <w:sz w:val="24"/>
          <w:szCs w:val="24"/>
        </w:rPr>
        <w:t>-</w:t>
      </w:r>
      <w:proofErr w:type="spellStart"/>
      <w:r w:rsidRPr="00F95D37">
        <w:rPr>
          <w:rFonts w:ascii="Times New Roman" w:hAnsi="Times New Roman" w:cs="Times New Roman"/>
          <w:sz w:val="24"/>
          <w:szCs w:val="24"/>
        </w:rPr>
        <w:t>го</w:t>
      </w:r>
      <w:proofErr w:type="spellEnd"/>
      <w:r w:rsidRPr="00F95D37">
        <w:rPr>
          <w:rFonts w:ascii="Times New Roman" w:hAnsi="Times New Roman" w:cs="Times New Roman"/>
          <w:sz w:val="24"/>
          <w:szCs w:val="24"/>
        </w:rPr>
        <w:t xml:space="preserve"> участника </w:t>
      </w:r>
      <w:r w:rsidRPr="00F95D37">
        <w:rPr>
          <w:rFonts w:ascii="Times New Roman" w:hAnsi="Times New Roman"/>
          <w:sz w:val="24"/>
          <w:szCs w:val="24"/>
        </w:rPr>
        <w:t>запроса предложений</w:t>
      </w:r>
      <w:r>
        <w:rPr>
          <w:rFonts w:ascii="Times New Roman" w:hAnsi="Times New Roman"/>
          <w:sz w:val="24"/>
          <w:szCs w:val="24"/>
        </w:rPr>
        <w:t xml:space="preserve"> </w:t>
      </w:r>
      <w:r w:rsidRPr="00F95D37">
        <w:rPr>
          <w:rFonts w:ascii="Times New Roman" w:hAnsi="Times New Roman" w:cs="Times New Roman"/>
          <w:sz w:val="24"/>
          <w:szCs w:val="24"/>
        </w:rPr>
        <w:t xml:space="preserve">по критерию </w:t>
      </w:r>
      <w:r w:rsidR="00D5571F" w:rsidRPr="00D5571F">
        <w:rPr>
          <w:rFonts w:ascii="Times New Roman" w:hAnsi="Times New Roman" w:cs="Times New Roman"/>
          <w:sz w:val="24"/>
          <w:szCs w:val="24"/>
        </w:rPr>
        <w:t>«</w:t>
      </w:r>
      <w:r w:rsidR="00D5571F" w:rsidRPr="00D5571F">
        <w:rPr>
          <w:rFonts w:ascii="Times New Roman" w:hAnsi="Times New Roman" w:cs="Times New Roman"/>
          <w:b/>
          <w:sz w:val="24"/>
          <w:szCs w:val="24"/>
        </w:rPr>
        <w:t>Величина коэффициента снижения цены</w:t>
      </w:r>
      <w:r w:rsidR="00D5571F" w:rsidRPr="00D5571F">
        <w:rPr>
          <w:rFonts w:ascii="Times New Roman" w:hAnsi="Times New Roman" w:cs="Times New Roman"/>
          <w:sz w:val="24"/>
          <w:szCs w:val="24"/>
        </w:rPr>
        <w:t>»</w:t>
      </w:r>
      <w:r w:rsidRPr="00F95D37">
        <w:rPr>
          <w:rFonts w:ascii="Times New Roman" w:hAnsi="Times New Roman" w:cs="Times New Roman"/>
          <w:sz w:val="24"/>
          <w:szCs w:val="24"/>
        </w:rPr>
        <w:t>.</w:t>
      </w:r>
    </w:p>
    <w:p w:rsidR="00F95D37" w:rsidRPr="00F95D37" w:rsidRDefault="00F95D37" w:rsidP="00F95D37">
      <w:pPr>
        <w:pStyle w:val="ConsPlusNonformat"/>
        <w:widowControl/>
        <w:ind w:left="1134"/>
        <w:jc w:val="both"/>
        <w:rPr>
          <w:rFonts w:ascii="Times New Roman" w:hAnsi="Times New Roman" w:cs="Times New Roman"/>
          <w:sz w:val="24"/>
          <w:szCs w:val="24"/>
        </w:rPr>
      </w:pPr>
    </w:p>
    <w:p w:rsidR="00D5571F" w:rsidRDefault="00F95D37" w:rsidP="00F579C0">
      <w:pPr>
        <w:ind w:firstLine="567"/>
        <w:jc w:val="both"/>
      </w:pPr>
      <w:r w:rsidRPr="00A4788C">
        <w:t xml:space="preserve">Для расчета итогового рейтинга по заявке на участие в </w:t>
      </w:r>
      <w:r w:rsidRPr="006F4D6D">
        <w:t>запросе предложений</w:t>
      </w:r>
      <w:r w:rsidRPr="00A4788C">
        <w:br/>
        <w:t xml:space="preserve">рейтинг, присуждаемый этой заявке по критерию </w:t>
      </w:r>
      <w:r w:rsidR="00D5571F" w:rsidRPr="00D5571F">
        <w:t>«</w:t>
      </w:r>
      <w:r w:rsidR="00D5571F" w:rsidRPr="00D5571F">
        <w:rPr>
          <w:b/>
        </w:rPr>
        <w:t>Величина коэффициента снижения цены</w:t>
      </w:r>
      <w:r w:rsidR="00D5571F" w:rsidRPr="00D5571F">
        <w:t>»</w:t>
      </w:r>
      <w:r w:rsidRPr="00A4788C">
        <w:t>, умножается на соответствующую указанному критерию значимость.</w:t>
      </w:r>
    </w:p>
    <w:p w:rsidR="004C0CAB" w:rsidRDefault="004C0CAB" w:rsidP="00F95D37">
      <w:pPr>
        <w:ind w:firstLine="567"/>
        <w:jc w:val="both"/>
      </w:pPr>
    </w:p>
    <w:p w:rsidR="004C0CAB" w:rsidRDefault="004C0CAB" w:rsidP="004C0CAB">
      <w:r w:rsidRPr="00A4788C">
        <w:t>3.</w:t>
      </w:r>
      <w:r>
        <w:t>2</w:t>
      </w:r>
      <w:r w:rsidRPr="00A4788C">
        <w:t xml:space="preserve">. Оценка заявок по критерию </w:t>
      </w:r>
      <w:r w:rsidRPr="004C0CAB">
        <w:rPr>
          <w:b/>
        </w:rPr>
        <w:t>«</w:t>
      </w:r>
      <w:r w:rsidR="00F579C0" w:rsidRPr="00F579C0">
        <w:rPr>
          <w:b/>
        </w:rPr>
        <w:t>Согласие претендента на условие оплаты по договору в течение 60 календарных дней с момента подписания сторонами накладной</w:t>
      </w:r>
      <w:r w:rsidRPr="004C0CAB">
        <w:rPr>
          <w:b/>
        </w:rPr>
        <w:t>»</w:t>
      </w:r>
      <w:r w:rsidRPr="00A4788C">
        <w:t>.</w:t>
      </w:r>
    </w:p>
    <w:p w:rsidR="00F579C0" w:rsidRPr="0057185A" w:rsidRDefault="00F579C0" w:rsidP="004C0CAB"/>
    <w:p w:rsidR="00F579C0" w:rsidRDefault="00F579C0" w:rsidP="00F579C0">
      <w:pPr>
        <w:ind w:firstLine="567"/>
        <w:jc w:val="both"/>
      </w:pPr>
      <w:r>
        <w:t>Наличие в заявке претендента согласия</w:t>
      </w:r>
      <w:r w:rsidRPr="00DA7E0B">
        <w:t xml:space="preserve"> на дополнительное увеличение срока оплаты</w:t>
      </w:r>
      <w:r>
        <w:t xml:space="preserve"> – </w:t>
      </w:r>
      <w:r w:rsidRPr="00925EB4">
        <w:rPr>
          <w:b/>
        </w:rPr>
        <w:t>100 баллов,</w:t>
      </w:r>
      <w:r>
        <w:t xml:space="preserve"> </w:t>
      </w:r>
    </w:p>
    <w:p w:rsidR="004C0CAB" w:rsidRDefault="00F579C0" w:rsidP="00F579C0">
      <w:pPr>
        <w:ind w:firstLine="567"/>
        <w:jc w:val="both"/>
      </w:pPr>
      <w:r>
        <w:t>отсутствие в заявке претендента согласия</w:t>
      </w:r>
      <w:r w:rsidRPr="00DA7E0B">
        <w:t xml:space="preserve"> на дополнительное увеличение срока оплаты</w:t>
      </w:r>
      <w:r>
        <w:t xml:space="preserve"> - </w:t>
      </w:r>
      <w:r w:rsidRPr="00925EB4">
        <w:rPr>
          <w:b/>
        </w:rPr>
        <w:t>0 баллов</w:t>
      </w:r>
      <w:r>
        <w:t>.</w:t>
      </w:r>
    </w:p>
    <w:sectPr w:rsidR="004C0CAB"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3F99" w:rsidRDefault="00FE3F99">
      <w:r>
        <w:separator/>
      </w:r>
    </w:p>
  </w:endnote>
  <w:endnote w:type="continuationSeparator" w:id="0">
    <w:p w:rsidR="00FE3F99" w:rsidRDefault="00FE3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3F99" w:rsidRDefault="00FE3F99">
      <w:r>
        <w:separator/>
      </w:r>
    </w:p>
  </w:footnote>
  <w:footnote w:type="continuationSeparator" w:id="0">
    <w:p w:rsidR="00FE3F99" w:rsidRDefault="00FE3F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788C" w:rsidRDefault="00D64EF9"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788C" w:rsidRDefault="00D64EF9"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F579C0">
      <w:rPr>
        <w:rStyle w:val="ad"/>
        <w:noProof/>
      </w:rPr>
      <w:t>2</w:t>
    </w:r>
    <w:r>
      <w:rPr>
        <w:rStyle w:val="ad"/>
      </w:rPr>
      <w:fldChar w:fldCharType="end"/>
    </w:r>
  </w:p>
  <w:p w:rsidR="00A4788C" w:rsidRDefault="00A4788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770"/>
    <w:rsid w:val="00002201"/>
    <w:rsid w:val="00002CED"/>
    <w:rsid w:val="00006A28"/>
    <w:rsid w:val="0001027A"/>
    <w:rsid w:val="0001100D"/>
    <w:rsid w:val="000158DA"/>
    <w:rsid w:val="00015D83"/>
    <w:rsid w:val="000251DE"/>
    <w:rsid w:val="000317C6"/>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05F9"/>
    <w:rsid w:val="00103151"/>
    <w:rsid w:val="0010481A"/>
    <w:rsid w:val="00106221"/>
    <w:rsid w:val="00111EA5"/>
    <w:rsid w:val="0011203F"/>
    <w:rsid w:val="00112CB7"/>
    <w:rsid w:val="001166C1"/>
    <w:rsid w:val="00117B9A"/>
    <w:rsid w:val="00120A7F"/>
    <w:rsid w:val="00121EDE"/>
    <w:rsid w:val="0012539F"/>
    <w:rsid w:val="00125744"/>
    <w:rsid w:val="00126EA2"/>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05B"/>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E5AFA"/>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8B1"/>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6312"/>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099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C0CAB"/>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B1C02"/>
    <w:rsid w:val="005C5965"/>
    <w:rsid w:val="005D6F3F"/>
    <w:rsid w:val="005D7E24"/>
    <w:rsid w:val="005E17F8"/>
    <w:rsid w:val="005E2D1B"/>
    <w:rsid w:val="005E3524"/>
    <w:rsid w:val="005F1557"/>
    <w:rsid w:val="005F1916"/>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12ED"/>
    <w:rsid w:val="00672CC8"/>
    <w:rsid w:val="00674665"/>
    <w:rsid w:val="00675040"/>
    <w:rsid w:val="00675785"/>
    <w:rsid w:val="00676AB9"/>
    <w:rsid w:val="00681AA9"/>
    <w:rsid w:val="00683738"/>
    <w:rsid w:val="006933B9"/>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1A6"/>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37BB1"/>
    <w:rsid w:val="00741A71"/>
    <w:rsid w:val="00741E57"/>
    <w:rsid w:val="00744D69"/>
    <w:rsid w:val="00745BAB"/>
    <w:rsid w:val="00747987"/>
    <w:rsid w:val="007519D4"/>
    <w:rsid w:val="0075523F"/>
    <w:rsid w:val="00757BAD"/>
    <w:rsid w:val="007629D4"/>
    <w:rsid w:val="007654C2"/>
    <w:rsid w:val="007655F6"/>
    <w:rsid w:val="0077081F"/>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547F"/>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74050"/>
    <w:rsid w:val="00880AAF"/>
    <w:rsid w:val="00882D65"/>
    <w:rsid w:val="008831BE"/>
    <w:rsid w:val="00883577"/>
    <w:rsid w:val="00884FA4"/>
    <w:rsid w:val="008852A3"/>
    <w:rsid w:val="008A3769"/>
    <w:rsid w:val="008C1280"/>
    <w:rsid w:val="008C426E"/>
    <w:rsid w:val="008C6330"/>
    <w:rsid w:val="008C6867"/>
    <w:rsid w:val="008E0476"/>
    <w:rsid w:val="008E46AF"/>
    <w:rsid w:val="008E5A6A"/>
    <w:rsid w:val="008F2A05"/>
    <w:rsid w:val="008F4B81"/>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13E2"/>
    <w:rsid w:val="009C2CE9"/>
    <w:rsid w:val="009C5457"/>
    <w:rsid w:val="009C577C"/>
    <w:rsid w:val="009C6559"/>
    <w:rsid w:val="009C7439"/>
    <w:rsid w:val="009C77DB"/>
    <w:rsid w:val="009D0862"/>
    <w:rsid w:val="009D09E6"/>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24E2"/>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B268F"/>
    <w:rsid w:val="00AC1514"/>
    <w:rsid w:val="00AC300D"/>
    <w:rsid w:val="00AC4354"/>
    <w:rsid w:val="00AD1E2E"/>
    <w:rsid w:val="00AD6612"/>
    <w:rsid w:val="00AD6950"/>
    <w:rsid w:val="00AE1A2D"/>
    <w:rsid w:val="00AE5052"/>
    <w:rsid w:val="00AE6279"/>
    <w:rsid w:val="00AF1498"/>
    <w:rsid w:val="00AF2FDC"/>
    <w:rsid w:val="00AF3FC5"/>
    <w:rsid w:val="00AF416C"/>
    <w:rsid w:val="00AF4E24"/>
    <w:rsid w:val="00AF61BC"/>
    <w:rsid w:val="00B00B39"/>
    <w:rsid w:val="00B06A95"/>
    <w:rsid w:val="00B109A7"/>
    <w:rsid w:val="00B11D63"/>
    <w:rsid w:val="00B14B0F"/>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4BA4"/>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C70A5"/>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C73D3"/>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571F"/>
    <w:rsid w:val="00D56E5F"/>
    <w:rsid w:val="00D57867"/>
    <w:rsid w:val="00D637EA"/>
    <w:rsid w:val="00D64EF9"/>
    <w:rsid w:val="00D812BA"/>
    <w:rsid w:val="00D8174D"/>
    <w:rsid w:val="00D82BFD"/>
    <w:rsid w:val="00D838B7"/>
    <w:rsid w:val="00D83F39"/>
    <w:rsid w:val="00D87354"/>
    <w:rsid w:val="00D87A1E"/>
    <w:rsid w:val="00D87BD5"/>
    <w:rsid w:val="00D87DEE"/>
    <w:rsid w:val="00D92A10"/>
    <w:rsid w:val="00D93885"/>
    <w:rsid w:val="00D95F99"/>
    <w:rsid w:val="00D962AC"/>
    <w:rsid w:val="00DA1F01"/>
    <w:rsid w:val="00DA2CB6"/>
    <w:rsid w:val="00DA31F0"/>
    <w:rsid w:val="00DA4A53"/>
    <w:rsid w:val="00DA5B3C"/>
    <w:rsid w:val="00DA74D9"/>
    <w:rsid w:val="00DB0EBA"/>
    <w:rsid w:val="00DB270C"/>
    <w:rsid w:val="00DB4A96"/>
    <w:rsid w:val="00DB56A9"/>
    <w:rsid w:val="00DB65B4"/>
    <w:rsid w:val="00DB6675"/>
    <w:rsid w:val="00DB7B97"/>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0926"/>
    <w:rsid w:val="00E92666"/>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6F41"/>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81A"/>
    <w:rsid w:val="00F2698C"/>
    <w:rsid w:val="00F27337"/>
    <w:rsid w:val="00F27DC6"/>
    <w:rsid w:val="00F3039C"/>
    <w:rsid w:val="00F30783"/>
    <w:rsid w:val="00F31935"/>
    <w:rsid w:val="00F41355"/>
    <w:rsid w:val="00F4233A"/>
    <w:rsid w:val="00F43583"/>
    <w:rsid w:val="00F50D66"/>
    <w:rsid w:val="00F52294"/>
    <w:rsid w:val="00F559E9"/>
    <w:rsid w:val="00F55ADE"/>
    <w:rsid w:val="00F575AA"/>
    <w:rsid w:val="00F579C0"/>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5809"/>
    <w:rsid w:val="00F95D37"/>
    <w:rsid w:val="00F9654A"/>
    <w:rsid w:val="00F97859"/>
    <w:rsid w:val="00FA67CF"/>
    <w:rsid w:val="00FB4A7E"/>
    <w:rsid w:val="00FB578D"/>
    <w:rsid w:val="00FB62D3"/>
    <w:rsid w:val="00FB6940"/>
    <w:rsid w:val="00FC044C"/>
    <w:rsid w:val="00FC046B"/>
    <w:rsid w:val="00FC0BB4"/>
    <w:rsid w:val="00FC6FE4"/>
    <w:rsid w:val="00FD0470"/>
    <w:rsid w:val="00FD29EE"/>
    <w:rsid w:val="00FD35AE"/>
    <w:rsid w:val="00FD6D9E"/>
    <w:rsid w:val="00FD75FC"/>
    <w:rsid w:val="00FE1993"/>
    <w:rsid w:val="00FE3F99"/>
    <w:rsid w:val="00FF56C2"/>
    <w:rsid w:val="00FF5C8B"/>
    <w:rsid w:val="00FF63C4"/>
    <w:rsid w:val="00FF687E"/>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620AB35-C7E3-4C41-B0F7-0C74D7526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74785-CD2D-44B3-950E-EFB730FDA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684</Words>
  <Characters>3905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Мигранова Регина Фангизовна</cp:lastModifiedBy>
  <cp:revision>2</cp:revision>
  <cp:lastPrinted>2015-01-09T06:43:00Z</cp:lastPrinted>
  <dcterms:created xsi:type="dcterms:W3CDTF">2015-09-11T09:29:00Z</dcterms:created>
  <dcterms:modified xsi:type="dcterms:W3CDTF">2015-09-11T09:29:00Z</dcterms:modified>
</cp:coreProperties>
</file>